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41DDD2" w14:textId="77777777">
      <w:pPr>
        <w:spacing w:after="60"/>
      </w:pPr>
      <w:r>
        <w:rPr>
          <w:b/>
          <w:bCs/>
          <w:sz w:val="32"/>
          <w:szCs w:val="32"/>
        </w:rPr>
        <w:t>INCIDENT DOCUMENTATION FORM</w:t>
      </w:r>
    </w:p>
    <w:p w14:paraId="10E76123" w14:textId="77777777">
      <w:pPr>
        <w:spacing w:after="200"/>
      </w:pPr>
      <w:r>
        <w:rPr>
          <w:b/>
          <w:bCs/>
          <w:color w:val="1F2937"/>
          <w:sz w:val="26"/>
          <w:szCs w:val="26"/>
        </w:rPr>
        <w:t>VA Federal EHR (Oracle Cerner) — All Deployment Sites, 2020–2026</w:t>
      </w:r>
    </w:p>
    <w:p w14:paraId="178636C3" w14:textId="77777777">
      <w:pPr>
        <w:spacing w:after="100" w:line="280" w:lineRule="auto"/>
      </w:pPr>
      <w:r>
        <w:t>This form is engineered so that one completed record can support filings to: VA OIG Hotline, U.S. Office of Special Counsel (§ 1213 disclosure), congressional oversight staff, and Joint Commission. Complete it once per incident; do not write incidents in free-form notes.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0ED0069B" w14:textId="77777777">
        <w:tc>
          <w:tcPr>
            <w:tcW w:w="9360" w:type="dxa"/>
            <w:tcBorders>
              <w:top w:val="single" w:sz="8" w:space="0" w:color="B91C1C"/>
              <w:left w:val="single" w:sz="8" w:space="0" w:color="B91C1C"/>
              <w:bottom w:val="single" w:sz="8" w:space="0" w:color="B91C1C"/>
              <w:right w:val="single" w:sz="8" w:space="0" w:color="B91C1C"/>
            </w:tcBorders>
            <w:shd w:val="clear" w:color="auto" w:fill="FEF2F2"/>
            <w:tcMar>
              <w:top w:w="160" w:type="dxa"/>
              <w:left w:w="200" w:type="dxa"/>
              <w:bottom w:w="160" w:type="dxa"/>
              <w:right w:w="200" w:type="dxa"/>
            </w:tcMar>
          </w:tcPr>
          <w:p w14:paraId="12EFA66B" w14:textId="77777777">
            <w:pPr>
              <w:spacing w:line="280" w:lineRule="auto"/>
            </w:pPr>
            <w:r>
              <w:rPr>
                <w:sz w:val="21"/>
                <w:szCs w:val="21"/>
              </w:rPr>
              <w:t>CRITICAL — DEIDENTIFY BEFORE THIS RECORD LEAVES VA NETWORKS. Do NOT include patient name, full DOB, SSN, MRN, full ZIP, full date of service, photographic identifiers, or any of the 18 HIPAA identifiers (45 C.F.R. § 164.514(b)). Use coded identifiers ("Patient A," "Patient B") that you maintain on a separate, secured key not stored with this form. Use month/year only for dates where exact date is not essential. When in doubt, leave it out.</w:t>
            </w:r>
          </w:p>
        </w:tc>
      </w:tr>
    </w:tbl>
    <w:p w14:paraId="5D9A1078" w14:textId="77777777">
      <w:pPr>
        <w:spacing w:after="100" w:line="280" w:lineRule="auto"/>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36C64D33" w14:textId="77777777">
        <w:tc>
          <w:tcPr>
            <w:tcW w:w="9360" w:type="dxa"/>
            <w:tcBorders>
              <w:top w:val="single" w:sz="8" w:space="0" w:color="B91C1C"/>
              <w:left w:val="single" w:sz="8" w:space="0" w:color="B91C1C"/>
              <w:bottom w:val="single" w:sz="8" w:space="0" w:color="B91C1C"/>
              <w:right w:val="single" w:sz="8" w:space="0" w:color="B91C1C"/>
            </w:tcBorders>
            <w:shd w:val="clear" w:color="auto" w:fill="FEF2F2"/>
            <w:tcMar>
              <w:top w:w="160" w:type="dxa"/>
              <w:left w:w="200" w:type="dxa"/>
              <w:bottom w:w="160" w:type="dxa"/>
              <w:right w:w="200" w:type="dxa"/>
            </w:tcMar>
          </w:tcPr>
          <w:p w14:paraId="7A76B337" w14:textId="30820885">
            <w:pPr>
              <w:spacing w:line="280" w:lineRule="auto"/>
            </w:pPr>
            <w:r>
              <w:rPr>
                <w:sz w:val="21"/>
                <w:szCs w:val="21"/>
              </w:rPr>
              <w:t xml:space="preserve">BEFORE FILING EXTERNALLY: Engage your union representative (AFGE/NAGE/NFFE local) or local whistleblower lead.  If you have concerns about privacy and retaliation and want to talk more, please let them know—they can connect you with attorneys from the Government Accountability Project. </w:t>
            </w:r>
          </w:p>
        </w:tc>
      </w:tr>
    </w:tbl>
    <w:p w14:paraId="708C7FE8" w14:textId="77777777">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68BBD336"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5913D413" w14:textId="77777777">
            <w:r>
              <w:rPr>
                <w:b/>
                <w:bCs/>
                <w:color w:val="1F2937"/>
                <w:sz w:val="24"/>
                <w:szCs w:val="24"/>
              </w:rPr>
              <w:lastRenderedPageBreak/>
              <w:t>SECTION 1 — Reporter information</w:t>
            </w:r>
          </w:p>
        </w:tc>
      </w:tr>
    </w:tbl>
    <w:p w14:paraId="08A2B78E" w14:textId="77777777">
      <w:pPr>
        <w:spacing w:before="160" w:after="60"/>
      </w:pPr>
      <w:r>
        <w:rPr>
          <w:b/>
          <w:bCs/>
          <w:color w:val="1F2937"/>
        </w:rPr>
        <w:t>1.1 Reporter name and credentials</w:t>
      </w:r>
    </w:p>
    <w:p w14:paraId="65687C81" w14:textId="77777777">
      <w:pPr>
        <w:spacing w:after="80"/>
      </w:pPr>
      <w:r>
        <w:rPr>
          <w:i/>
          <w:iCs/>
          <w:color w:val="4B5563"/>
          <w:sz w:val="18"/>
          <w:szCs w:val="18"/>
        </w:rPr>
        <w:t>You may decline to enter your name here and request confidentiality from OIG/OSC at the time of filing. The submission coordinator should not retain this field if confidentiality is requested.</w:t>
      </w:r>
    </w:p>
    <w:p w14:paraId="747D4A5C" w14:textId="77777777">
      <w:pPr>
        <w:pBdr>
          <w:bottom w:val="single" w:sz="4" w:space="1" w:color="9CA3AF"/>
        </w:pBdr>
        <w:spacing w:after="200"/>
      </w:pPr>
      <w:r>
        <w:t xml:space="preserve"> </w:t>
      </w:r>
    </w:p>
    <w:p w14:paraId="059AA20A" w14:textId="77777777">
      <w:pPr>
        <w:spacing w:before="160" w:after="60"/>
      </w:pPr>
      <w:r>
        <w:rPr>
          <w:b/>
          <w:bCs/>
          <w:color w:val="1F2937"/>
        </w:rPr>
        <w:t>1.2 Role at facility</w:t>
      </w:r>
    </w:p>
    <w:p w14:paraId="1846FB6E" w14:textId="77777777">
      <w:pPr>
        <w:spacing w:after="80"/>
      </w:pPr>
      <w:r>
        <w:rPr>
          <w:i/>
          <w:iCs/>
          <w:color w:val="4B5563"/>
          <w:sz w:val="18"/>
          <w:szCs w:val="18"/>
        </w:rPr>
        <w:t>e.g., attending physician, RN, pharmacist, IT support, scheduler, etc.</w:t>
      </w:r>
    </w:p>
    <w:p w14:paraId="76285B5D" w14:textId="77777777">
      <w:pPr>
        <w:pBdr>
          <w:bottom w:val="single" w:sz="4" w:space="1" w:color="9CA3AF"/>
        </w:pBdr>
        <w:spacing w:after="200"/>
      </w:pPr>
      <w:r>
        <w:t xml:space="preserve"> </w:t>
      </w:r>
    </w:p>
    <w:p w14:paraId="0545E5AA" w14:textId="77777777">
      <w:pPr>
        <w:spacing w:before="160" w:after="60"/>
      </w:pPr>
      <w:r>
        <w:rPr>
          <w:b/>
          <w:bCs/>
          <w:color w:val="1F2937"/>
        </w:rPr>
        <w:t>1.3 Confidentiality requested?</w:t>
      </w:r>
    </w:p>
    <w:p w14:paraId="65886D5E" w14:textId="77777777">
      <w:pPr>
        <w:spacing w:after="80"/>
      </w:pPr>
      <w:proofErr w:type="gramStart"/>
      <w:r>
        <w:t>☐  Yes</w:t>
      </w:r>
      <w:proofErr w:type="gramEnd"/>
      <w:r>
        <w:t xml:space="preserve"> — request OIG/OSC confidentiality and union representation in any communications</w:t>
      </w:r>
    </w:p>
    <w:p w14:paraId="3DD89B58" w14:textId="77777777">
      <w:pPr>
        <w:spacing w:after="80"/>
      </w:pPr>
      <w:proofErr w:type="gramStart"/>
      <w:r>
        <w:t>☐  No</w:t>
      </w:r>
      <w:proofErr w:type="gramEnd"/>
      <w:r>
        <w:t xml:space="preserve"> — willing to be identified to investigators</w:t>
      </w:r>
    </w:p>
    <w:p w14:paraId="39CC63E6" w14:textId="77777777">
      <w:pPr>
        <w:spacing w:before="160" w:after="60"/>
      </w:pPr>
      <w:r>
        <w:rPr>
          <w:b/>
          <w:bCs/>
          <w:color w:val="1F2937"/>
        </w:rPr>
        <w:t>1.4 Best contact (personal, not VA)</w:t>
      </w:r>
    </w:p>
    <w:p w14:paraId="71213BBA" w14:textId="078DA79E">
      <w:pPr>
        <w:spacing w:after="80"/>
      </w:pPr>
      <w:r>
        <w:rPr>
          <w:i/>
          <w:iCs/>
          <w:color w:val="4B5563"/>
          <w:sz w:val="18"/>
          <w:szCs w:val="18"/>
        </w:rPr>
        <w:t>Use a personal phone or email — never a VA email or device.</w:t>
      </w:r>
    </w:p>
    <w:p w14:paraId="22FD5239" w14:textId="77777777">
      <w:pPr>
        <w:pBdr>
          <w:bottom w:val="single" w:sz="4" w:space="1" w:color="9CA3AF"/>
        </w:pBdr>
        <w:spacing w:after="200"/>
      </w:pPr>
      <w:r>
        <w:t xml:space="preserve"> </w:t>
      </w:r>
    </w:p>
    <w:p w14:paraId="6B480DBA" w14:textId="77777777">
      <w:pPr>
        <w:spacing w:before="160" w:after="60"/>
      </w:pPr>
      <w:r>
        <w:rPr>
          <w:b/>
          <w:bCs/>
          <w:color w:val="1F2937"/>
        </w:rPr>
        <w:t>1.5 Date this form completed</w:t>
      </w:r>
    </w:p>
    <w:p w14:paraId="46437B2D" w14:textId="77777777">
      <w:pPr>
        <w:pBdr>
          <w:bottom w:val="single" w:sz="4" w:space="1" w:color="9CA3AF"/>
        </w:pBdr>
        <w:spacing w:after="20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1BC64B86"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25D948B0" w14:textId="77777777">
            <w:r>
              <w:rPr>
                <w:b/>
                <w:bCs/>
                <w:color w:val="1F2937"/>
                <w:sz w:val="24"/>
                <w:szCs w:val="24"/>
              </w:rPr>
              <w:t>SECTION 2 — Facility and incident basics</w:t>
            </w:r>
          </w:p>
        </w:tc>
      </w:tr>
    </w:tbl>
    <w:p w14:paraId="214C2760" w14:textId="77777777">
      <w:pPr>
        <w:spacing w:before="160" w:after="60"/>
      </w:pPr>
      <w:r>
        <w:rPr>
          <w:b/>
          <w:bCs/>
          <w:color w:val="1F2937"/>
        </w:rPr>
        <w:t>2.1 Facility (check one)</w:t>
      </w:r>
    </w:p>
    <w:p w14:paraId="018F6399" w14:textId="77777777">
      <w:pPr>
        <w:spacing w:after="80"/>
      </w:pPr>
      <w:r>
        <w:t>Initial rollout sites (2020–2024):</w:t>
      </w:r>
    </w:p>
    <w:p w14:paraId="5FB89998" w14:textId="77777777">
      <w:pPr>
        <w:spacing w:after="80"/>
      </w:pPr>
      <w:proofErr w:type="gramStart"/>
      <w:r>
        <w:t>☐  Mann</w:t>
      </w:r>
      <w:proofErr w:type="gramEnd"/>
      <w:r>
        <w:t>-Grandstaff VA Medical Center — Spokane, WA</w:t>
      </w:r>
    </w:p>
    <w:p w14:paraId="47E94771" w14:textId="77777777">
      <w:pPr>
        <w:spacing w:after="80"/>
      </w:pPr>
      <w:proofErr w:type="gramStart"/>
      <w:r>
        <w:t>☐  Jonathan</w:t>
      </w:r>
      <w:proofErr w:type="gramEnd"/>
      <w:r>
        <w:t xml:space="preserve"> M. Wainwright Memorial VA Medical Center — Walla Walla, WA</w:t>
      </w:r>
    </w:p>
    <w:p w14:paraId="5B66911E" w14:textId="77777777">
      <w:pPr>
        <w:spacing w:after="80"/>
      </w:pPr>
      <w:proofErr w:type="gramStart"/>
      <w:r>
        <w:t>☐  White</w:t>
      </w:r>
      <w:proofErr w:type="gramEnd"/>
      <w:r>
        <w:t xml:space="preserve"> River Junction VA Medical Center — VT</w:t>
      </w:r>
    </w:p>
    <w:p w14:paraId="08DA084A" w14:textId="77777777">
      <w:pPr>
        <w:spacing w:after="80"/>
      </w:pPr>
      <w:proofErr w:type="gramStart"/>
      <w:r>
        <w:t>☐  Chalmers</w:t>
      </w:r>
      <w:proofErr w:type="gramEnd"/>
      <w:r>
        <w:t xml:space="preserve"> P. Wylie VA Ambulatory Care Center — Columbus, OH</w:t>
      </w:r>
    </w:p>
    <w:p w14:paraId="2F7CB0F0" w14:textId="77777777">
      <w:pPr>
        <w:spacing w:after="80"/>
      </w:pPr>
      <w:proofErr w:type="gramStart"/>
      <w:r>
        <w:t>☐  Roseburg</w:t>
      </w:r>
      <w:proofErr w:type="gramEnd"/>
      <w:r>
        <w:t xml:space="preserve"> VA Health Care System / VA Southern Oregon (White City) — OR</w:t>
      </w:r>
    </w:p>
    <w:p w14:paraId="5D9CA78D" w14:textId="77777777">
      <w:pPr>
        <w:spacing w:after="80"/>
      </w:pPr>
      <w:proofErr w:type="gramStart"/>
      <w:r>
        <w:t>☐  Captain</w:t>
      </w:r>
      <w:proofErr w:type="gramEnd"/>
      <w:r>
        <w:t xml:space="preserve"> James A. Lovell Federal Health Care Center — North Chicago, IL</w:t>
      </w:r>
    </w:p>
    <w:p w14:paraId="5DD4A72F" w14:textId="77777777">
      <w:pPr>
        <w:spacing w:after="80"/>
      </w:pPr>
      <w:r>
        <w:t>2026 rollout sites:</w:t>
      </w:r>
    </w:p>
    <w:p w14:paraId="421EA38B" w14:textId="77777777">
      <w:pPr>
        <w:spacing w:after="80"/>
      </w:pPr>
      <w:proofErr w:type="gramStart"/>
      <w:r>
        <w:t>☐  VA</w:t>
      </w:r>
      <w:proofErr w:type="gramEnd"/>
      <w:r>
        <w:t xml:space="preserve"> Battle Creek Medical Center (MI-5, Calhoun County)</w:t>
      </w:r>
    </w:p>
    <w:p w14:paraId="2C74F3CC" w14:textId="77777777">
      <w:pPr>
        <w:spacing w:after="80"/>
      </w:pPr>
      <w:proofErr w:type="gramStart"/>
      <w:r>
        <w:t>☐  VA</w:t>
      </w:r>
      <w:proofErr w:type="gramEnd"/>
      <w:r>
        <w:t xml:space="preserve"> Ann Arbor Healthcare System (MI-6, Washtenaw County)</w:t>
      </w:r>
    </w:p>
    <w:p w14:paraId="1DB9ACF5" w14:textId="77777777">
      <w:pPr>
        <w:spacing w:after="80"/>
      </w:pPr>
      <w:proofErr w:type="gramStart"/>
      <w:r>
        <w:t>☐  John</w:t>
      </w:r>
      <w:proofErr w:type="gramEnd"/>
      <w:r>
        <w:t xml:space="preserve"> D. Dingell VA Medical Center, Detroit (MI-13, Wayne County)</w:t>
      </w:r>
    </w:p>
    <w:p w14:paraId="772CF04B" w14:textId="77777777">
      <w:pPr>
        <w:spacing w:after="80"/>
      </w:pPr>
      <w:proofErr w:type="gramStart"/>
      <w:r>
        <w:t>☐  Aleda</w:t>
      </w:r>
      <w:proofErr w:type="gramEnd"/>
      <w:r>
        <w:t xml:space="preserve"> E. Lutz VA Medical Center, Saginaw (MI-8, Saginaw County)</w:t>
      </w:r>
    </w:p>
    <w:p w14:paraId="120B5D6B" w14:textId="77777777">
      <w:pPr>
        <w:spacing w:after="80"/>
      </w:pPr>
      <w:proofErr w:type="gramStart"/>
      <w:r>
        <w:t>☐  Richard</w:t>
      </w:r>
      <w:proofErr w:type="gramEnd"/>
      <w:r>
        <w:t xml:space="preserve"> L. Roudebush VA Medical Center — Indianapolis, IN (go-live 8/22/26)</w:t>
      </w:r>
    </w:p>
    <w:p w14:paraId="590B8233" w14:textId="77777777">
      <w:pPr>
        <w:spacing w:after="80"/>
      </w:pPr>
      <w:proofErr w:type="gramStart"/>
      <w:r>
        <w:t>☐  Cincinnati</w:t>
      </w:r>
      <w:proofErr w:type="gramEnd"/>
      <w:r>
        <w:t xml:space="preserve"> VA Medical Center — OH</w:t>
      </w:r>
    </w:p>
    <w:p w14:paraId="298EBE70" w14:textId="77777777">
      <w:pPr>
        <w:spacing w:after="80"/>
      </w:pPr>
      <w:proofErr w:type="gramStart"/>
      <w:r>
        <w:t>☐  VA</w:t>
      </w:r>
      <w:proofErr w:type="gramEnd"/>
      <w:r>
        <w:t xml:space="preserve"> Northeast Ohio Healthcare System — Cleveland, OH (go-live 10/24/26)</w:t>
      </w:r>
    </w:p>
    <w:p w14:paraId="642C9558" w14:textId="77777777">
      <w:pPr>
        <w:spacing w:after="80"/>
      </w:pPr>
      <w:proofErr w:type="gramStart"/>
      <w:r>
        <w:lastRenderedPageBreak/>
        <w:t>☐  Other</w:t>
      </w:r>
      <w:proofErr w:type="gramEnd"/>
      <w:r>
        <w:t xml:space="preserve"> 2026 rollout site — specify:</w:t>
      </w:r>
    </w:p>
    <w:p w14:paraId="1D6A35D3" w14:textId="77777777">
      <w:pPr>
        <w:spacing w:after="80"/>
      </w:pPr>
      <w:r>
        <w:t>Other:</w:t>
      </w:r>
    </w:p>
    <w:p w14:paraId="0E9FA5DD" w14:textId="77777777">
      <w:pPr>
        <w:spacing w:after="80"/>
      </w:pPr>
      <w:proofErr w:type="gramStart"/>
      <w:r>
        <w:t>☐  Other</w:t>
      </w:r>
      <w:proofErr w:type="gramEnd"/>
      <w:r>
        <w:t xml:space="preserve"> Oracle EHR site or scheduled site — specify facility, city, state:</w:t>
      </w:r>
    </w:p>
    <w:p w14:paraId="1DAACA55" w14:textId="77777777">
      <w:pPr>
        <w:spacing w:after="80"/>
      </w:pPr>
      <w:r>
        <w:t>District / county (helps route congressional casework) — specify if known:</w:t>
      </w:r>
    </w:p>
    <w:p w14:paraId="5D0EB0BB" w14:textId="77777777">
      <w:pPr>
        <w:pBdr>
          <w:bottom w:val="single" w:sz="4" w:space="1" w:color="9CA3AF"/>
        </w:pBdr>
        <w:spacing w:after="200"/>
      </w:pPr>
      <w:r>
        <w:t xml:space="preserve"> </w:t>
      </w:r>
    </w:p>
    <w:p w14:paraId="179ECFDA" w14:textId="77E97CCD">
      <w:pPr>
        <w:spacing w:before="160" w:after="60"/>
      </w:pPr>
      <w:r>
        <w:rPr>
          <w:b/>
          <w:bCs/>
          <w:color w:val="1F2937"/>
        </w:rPr>
        <w:t>2.2 Date</w:t>
      </w:r>
      <w:r>
        <w:rPr>
          <w:b/>
          <w:bCs/>
          <w:color w:val="1F2937"/>
        </w:rPr>
        <w:t>(s)</w:t>
      </w:r>
      <w:r>
        <w:rPr>
          <w:b/>
          <w:bCs/>
          <w:color w:val="1F2937"/>
        </w:rPr>
        <w:t xml:space="preserve"> of incident</w:t>
      </w:r>
      <w:r>
        <w:rPr>
          <w:b/>
          <w:bCs/>
          <w:color w:val="1F2937"/>
        </w:rPr>
        <w:t>(s)</w:t>
      </w:r>
    </w:p>
    <w:p w14:paraId="42989079" w14:textId="53AF9A28">
      <w:pPr>
        <w:spacing w:after="80"/>
      </w:pPr>
      <w:r>
        <w:rPr>
          <w:i/>
          <w:iCs/>
          <w:color w:val="4B5563"/>
          <w:sz w:val="18"/>
          <w:szCs w:val="18"/>
        </w:rPr>
        <w:t xml:space="preserve">Use specific date if essential to the case; </w:t>
      </w:r>
      <w:proofErr w:type="gramStart"/>
      <w:r>
        <w:rPr>
          <w:i/>
          <w:iCs/>
          <w:color w:val="4B5563"/>
          <w:sz w:val="18"/>
          <w:szCs w:val="18"/>
        </w:rPr>
        <w:t>otherwise</w:t>
      </w:r>
      <w:proofErr w:type="gramEnd"/>
      <w:r>
        <w:rPr>
          <w:i/>
          <w:iCs/>
          <w:color w:val="4B5563"/>
          <w:sz w:val="18"/>
          <w:szCs w:val="18"/>
        </w:rPr>
        <w:t xml:space="preserve"> month/year is preferred.</w:t>
      </w:r>
    </w:p>
    <w:p w14:paraId="71EB4739" w14:textId="77777777">
      <w:pPr>
        <w:pBdr>
          <w:bottom w:val="single" w:sz="4" w:space="1" w:color="9CA3AF"/>
        </w:pBdr>
        <w:spacing w:after="200"/>
      </w:pPr>
      <w:r>
        <w:t xml:space="preserve"> </w:t>
      </w:r>
    </w:p>
    <w:p w14:paraId="6A184AAB" w14:textId="77777777">
      <w:pPr>
        <w:spacing w:before="160" w:after="60"/>
      </w:pPr>
      <w:r>
        <w:rPr>
          <w:b/>
          <w:bCs/>
          <w:color w:val="1F2937"/>
        </w:rPr>
        <w:t>2.3 Approximate time of day</w:t>
      </w:r>
    </w:p>
    <w:p w14:paraId="40F570CA" w14:textId="77777777">
      <w:pPr>
        <w:spacing w:after="80"/>
      </w:pPr>
      <w:proofErr w:type="gramStart"/>
      <w:r>
        <w:t>☐  Day</w:t>
      </w:r>
      <w:proofErr w:type="gramEnd"/>
      <w:r>
        <w:t xml:space="preserve"> shift</w:t>
      </w:r>
    </w:p>
    <w:p w14:paraId="22F4DA17" w14:textId="77777777">
      <w:pPr>
        <w:spacing w:after="80"/>
      </w:pPr>
      <w:proofErr w:type="gramStart"/>
      <w:r>
        <w:t>☐  Evening</w:t>
      </w:r>
      <w:proofErr w:type="gramEnd"/>
      <w:r>
        <w:t xml:space="preserve"> / swing shift</w:t>
      </w:r>
    </w:p>
    <w:p w14:paraId="265F5CA1" w14:textId="77777777">
      <w:pPr>
        <w:spacing w:after="80"/>
      </w:pPr>
      <w:proofErr w:type="gramStart"/>
      <w:r>
        <w:t>☐  Overnight</w:t>
      </w:r>
      <w:proofErr w:type="gramEnd"/>
    </w:p>
    <w:p w14:paraId="33714FC6" w14:textId="77777777">
      <w:pPr>
        <w:spacing w:after="80"/>
      </w:pPr>
      <w:proofErr w:type="gramStart"/>
      <w:r>
        <w:t>☐  Specific</w:t>
      </w:r>
      <w:proofErr w:type="gramEnd"/>
      <w:r>
        <w:t xml:space="preserve"> time:</w:t>
      </w:r>
    </w:p>
    <w:p w14:paraId="1D0E3D1E" w14:textId="77777777">
      <w:pPr>
        <w:pBdr>
          <w:bottom w:val="single" w:sz="4" w:space="1" w:color="9CA3AF"/>
        </w:pBdr>
        <w:spacing w:after="200"/>
      </w:pPr>
      <w:r>
        <w:t xml:space="preserve"> </w:t>
      </w:r>
    </w:p>
    <w:p w14:paraId="464B67BD" w14:textId="77777777">
      <w:pPr>
        <w:spacing w:before="160" w:after="60"/>
      </w:pPr>
      <w:r>
        <w:rPr>
          <w:b/>
          <w:bCs/>
          <w:color w:val="1F2937"/>
        </w:rPr>
        <w:t>2.4 Setting</w:t>
      </w:r>
    </w:p>
    <w:p w14:paraId="55D78E35" w14:textId="77777777">
      <w:pPr>
        <w:spacing w:after="80"/>
      </w:pPr>
      <w:proofErr w:type="gramStart"/>
      <w:r>
        <w:t>☐  Inpatient</w:t>
      </w:r>
      <w:proofErr w:type="gramEnd"/>
      <w:r>
        <w:t xml:space="preserve"> — medical/surgical</w:t>
      </w:r>
    </w:p>
    <w:p w14:paraId="49776B35" w14:textId="77777777">
      <w:pPr>
        <w:spacing w:after="80"/>
      </w:pPr>
      <w:proofErr w:type="gramStart"/>
      <w:r>
        <w:t>☐  Inpatient</w:t>
      </w:r>
      <w:proofErr w:type="gramEnd"/>
      <w:r>
        <w:t xml:space="preserve"> — ICU/CCU</w:t>
      </w:r>
    </w:p>
    <w:p w14:paraId="0558B5EF" w14:textId="77777777">
      <w:pPr>
        <w:spacing w:after="80"/>
      </w:pPr>
      <w:proofErr w:type="gramStart"/>
      <w:r>
        <w:t>☐  Inpatient</w:t>
      </w:r>
      <w:proofErr w:type="gramEnd"/>
      <w:r>
        <w:t xml:space="preserve"> — mental health</w:t>
      </w:r>
    </w:p>
    <w:p w14:paraId="374857F5" w14:textId="77777777">
      <w:pPr>
        <w:spacing w:after="80"/>
      </w:pPr>
      <w:proofErr w:type="gramStart"/>
      <w:r>
        <w:t>☐  Emergency</w:t>
      </w:r>
      <w:proofErr w:type="gramEnd"/>
      <w:r>
        <w:t xml:space="preserve"> department / urgent care</w:t>
      </w:r>
    </w:p>
    <w:p w14:paraId="6D632C71" w14:textId="77777777">
      <w:pPr>
        <w:spacing w:after="80"/>
      </w:pPr>
      <w:proofErr w:type="gramStart"/>
      <w:r>
        <w:t>☐  Outpatient</w:t>
      </w:r>
      <w:proofErr w:type="gramEnd"/>
      <w:r>
        <w:t xml:space="preserve"> clinic</w:t>
      </w:r>
    </w:p>
    <w:p w14:paraId="10ACCE1C" w14:textId="77777777">
      <w:pPr>
        <w:spacing w:after="80"/>
      </w:pPr>
      <w:proofErr w:type="gramStart"/>
      <w:r>
        <w:t>☐  Pharmacy</w:t>
      </w:r>
      <w:proofErr w:type="gramEnd"/>
    </w:p>
    <w:p w14:paraId="506BC098" w14:textId="77777777">
      <w:pPr>
        <w:spacing w:after="80"/>
      </w:pPr>
      <w:proofErr w:type="gramStart"/>
      <w:r>
        <w:t>☐  Lab</w:t>
      </w:r>
      <w:proofErr w:type="gramEnd"/>
      <w:r>
        <w:t xml:space="preserve"> / imaging / ancillary</w:t>
      </w:r>
    </w:p>
    <w:p w14:paraId="50C85871" w14:textId="77777777">
      <w:pPr>
        <w:spacing w:after="80"/>
      </w:pPr>
      <w:proofErr w:type="gramStart"/>
      <w:r>
        <w:t>☐  Other</w:t>
      </w:r>
      <w:proofErr w:type="gramEnd"/>
      <w:r>
        <w:t xml:space="preserve"> (specify):</w:t>
      </w:r>
    </w:p>
    <w:p w14:paraId="30F5BCFF" w14:textId="77777777">
      <w:pPr>
        <w:pBdr>
          <w:bottom w:val="single" w:sz="4" w:space="1" w:color="9CA3AF"/>
        </w:pBdr>
        <w:spacing w:after="200"/>
      </w:pPr>
      <w:r>
        <w:t xml:space="preserve"> </w:t>
      </w:r>
    </w:p>
    <w:p w14:paraId="28C450A4" w14:textId="4A240A3C"/>
    <w:p w14:paraId="7AEDCE61" w14:textId="77777777"/>
    <w:p w14:paraId="514FCEA9" w14:textId="77777777"/>
    <w:p w14:paraId="187D79AB" w14:textId="77777777"/>
    <w:p w14:paraId="4E460FB7" w14:textId="77777777"/>
    <w:p w14:paraId="54B7337E" w14:textId="77777777"/>
    <w:p w14:paraId="7C7E179E" w14:textId="77777777"/>
    <w:p w14:paraId="68874909" w14:textId="77777777"/>
    <w:p w14:paraId="76A667CC" w14:textId="77777777"/>
    <w:p w14:paraId="497C4393" w14:textId="77777777"/>
    <w:p w14:paraId="1382796E" w14:textId="77777777"/>
    <w:p w14:paraId="340A9EC9" w14:textId="7777777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22F19344"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0E5661C6" w14:textId="29D096BB">
            <w:r>
              <w:rPr>
                <w:b/>
                <w:bCs/>
                <w:color w:val="1F2937"/>
                <w:sz w:val="24"/>
                <w:szCs w:val="24"/>
              </w:rPr>
              <w:lastRenderedPageBreak/>
              <w:t xml:space="preserve">SECTION </w:t>
            </w:r>
            <w:r>
              <w:rPr>
                <w:b/>
                <w:bCs/>
                <w:color w:val="1F2937"/>
                <w:sz w:val="24"/>
                <w:szCs w:val="24"/>
              </w:rPr>
              <w:t>3</w:t>
            </w:r>
            <w:r>
              <w:rPr>
                <w:b/>
                <w:bCs/>
                <w:color w:val="1F2937"/>
                <w:sz w:val="24"/>
                <w:szCs w:val="24"/>
              </w:rPr>
              <w:t xml:space="preserve"> — Incident narrative (deidentified)</w:t>
            </w:r>
          </w:p>
        </w:tc>
      </w:tr>
    </w:tbl>
    <w:p w14:paraId="28AB633C" w14:textId="7BBDCBF4">
      <w:pPr>
        <w:spacing w:after="100" w:line="280" w:lineRule="auto"/>
      </w:pPr>
      <w:r>
        <w:t>Describe what happened in factual, chronological terms. Use coded identifiers</w:t>
      </w:r>
      <w:r>
        <w:t xml:space="preserve"> for any identifying information</w:t>
      </w:r>
      <w:r>
        <w:t xml:space="preserve"> (Patient A, RN B, Pharmacist C). Stick to what you observed or directly reviewed in the record. </w:t>
      </w:r>
      <w:r>
        <w:t xml:space="preserve"> </w:t>
      </w:r>
      <w:r>
        <w:t xml:space="preserve"> </w:t>
      </w:r>
      <w:r>
        <w:t>Please provide free text narratives.</w:t>
      </w:r>
    </w:p>
    <w:p w14:paraId="520AABDE" w14:textId="77777777">
      <w:pPr>
        <w:pBdr>
          <w:bottom w:val="single" w:sz="4" w:space="1" w:color="9CA3AF"/>
        </w:pBdr>
        <w:spacing w:after="200"/>
      </w:pPr>
      <w:r>
        <w:t xml:space="preserve"> </w:t>
      </w:r>
    </w:p>
    <w:p w14:paraId="7E7050E4" w14:textId="77777777">
      <w:pPr>
        <w:pBdr>
          <w:bottom w:val="single" w:sz="4" w:space="1" w:color="9CA3AF"/>
        </w:pBdr>
        <w:spacing w:after="200"/>
      </w:pPr>
      <w:r>
        <w:t xml:space="preserve"> </w:t>
      </w:r>
    </w:p>
    <w:p w14:paraId="35DC3496" w14:textId="77777777">
      <w:pPr>
        <w:pBdr>
          <w:bottom w:val="single" w:sz="4" w:space="1" w:color="9CA3AF"/>
        </w:pBdr>
        <w:spacing w:after="200"/>
      </w:pPr>
      <w:r>
        <w:t xml:space="preserve"> </w:t>
      </w:r>
    </w:p>
    <w:p w14:paraId="5BDA3EC6" w14:textId="77777777">
      <w:pPr>
        <w:pBdr>
          <w:bottom w:val="single" w:sz="4" w:space="1" w:color="9CA3AF"/>
        </w:pBdr>
        <w:spacing w:after="200"/>
      </w:pPr>
      <w:r>
        <w:t xml:space="preserve"> </w:t>
      </w:r>
    </w:p>
    <w:p w14:paraId="5EA71B6D" w14:textId="77777777">
      <w:pPr>
        <w:pBdr>
          <w:bottom w:val="single" w:sz="4" w:space="1" w:color="9CA3AF"/>
        </w:pBdr>
        <w:spacing w:after="200"/>
      </w:pPr>
      <w:r>
        <w:t xml:space="preserve"> </w:t>
      </w:r>
    </w:p>
    <w:p w14:paraId="4BD41B35" w14:textId="77777777">
      <w:pPr>
        <w:pBdr>
          <w:bottom w:val="single" w:sz="4" w:space="1" w:color="9CA3AF"/>
        </w:pBdr>
        <w:spacing w:after="200"/>
      </w:pPr>
      <w:r>
        <w:t xml:space="preserve"> </w:t>
      </w:r>
    </w:p>
    <w:p w14:paraId="2324AEB3" w14:textId="77777777">
      <w:pPr>
        <w:pBdr>
          <w:bottom w:val="single" w:sz="4" w:space="1" w:color="9CA3AF"/>
        </w:pBdr>
        <w:spacing w:after="200"/>
      </w:pPr>
      <w:r>
        <w:t xml:space="preserve"> </w:t>
      </w:r>
    </w:p>
    <w:p w14:paraId="514ED8D3" w14:textId="77777777">
      <w:pPr>
        <w:pBdr>
          <w:bottom w:val="single" w:sz="4" w:space="1" w:color="9CA3AF"/>
        </w:pBdr>
        <w:spacing w:after="200"/>
      </w:pPr>
      <w:r>
        <w:t xml:space="preserve"> </w:t>
      </w:r>
    </w:p>
    <w:p w14:paraId="58E101A6" w14:textId="77777777">
      <w:pPr>
        <w:pBdr>
          <w:bottom w:val="single" w:sz="4" w:space="1" w:color="9CA3AF"/>
        </w:pBdr>
        <w:spacing w:after="200"/>
      </w:pPr>
      <w:r>
        <w:t xml:space="preserve"> </w:t>
      </w:r>
    </w:p>
    <w:p w14:paraId="4B0925D4" w14:textId="77777777">
      <w:pPr>
        <w:pBdr>
          <w:bottom w:val="single" w:sz="4" w:space="1" w:color="9CA3AF"/>
        </w:pBdr>
        <w:spacing w:after="200"/>
      </w:pPr>
      <w:r>
        <w:t xml:space="preserve"> </w:t>
      </w:r>
    </w:p>
    <w:p w14:paraId="38FD1EC4" w14:textId="77777777">
      <w:pPr>
        <w:pBdr>
          <w:bottom w:val="single" w:sz="4" w:space="1" w:color="9CA3AF"/>
        </w:pBdr>
        <w:spacing w:after="200"/>
      </w:pPr>
      <w:r>
        <w:t xml:space="preserve"> </w:t>
      </w:r>
    </w:p>
    <w:p w14:paraId="61921C7E" w14:textId="77777777">
      <w:pPr>
        <w:pBdr>
          <w:bottom w:val="single" w:sz="4" w:space="1" w:color="9CA3AF"/>
        </w:pBdr>
        <w:spacing w:after="200"/>
      </w:pPr>
      <w:r>
        <w:t xml:space="preserve"> </w:t>
      </w:r>
    </w:p>
    <w:p w14:paraId="3D5BFF11" w14:textId="77777777">
      <w:pPr>
        <w:pBdr>
          <w:bottom w:val="single" w:sz="4" w:space="1" w:color="9CA3AF"/>
        </w:pBdr>
        <w:spacing w:after="200"/>
      </w:pPr>
      <w:r>
        <w:t xml:space="preserve"> </w:t>
      </w:r>
    </w:p>
    <w:p w14:paraId="0D54FB3B" w14:textId="77777777">
      <w:pPr>
        <w:pBdr>
          <w:bottom w:val="single" w:sz="4" w:space="1" w:color="9CA3AF"/>
        </w:pBdr>
        <w:spacing w:after="200"/>
      </w:pPr>
      <w:r>
        <w:t xml:space="preserve"> </w:t>
      </w:r>
    </w:p>
    <w:p w14:paraId="1036C7ED" w14:textId="77777777">
      <w:pPr>
        <w:pBdr>
          <w:bottom w:val="single" w:sz="4" w:space="1" w:color="9CA3AF"/>
        </w:pBdr>
        <w:spacing w:after="200"/>
      </w:pPr>
      <w:r>
        <w:t xml:space="preserve"> </w:t>
      </w:r>
    </w:p>
    <w:p w14:paraId="20A07922" w14:textId="77777777">
      <w:pPr>
        <w:pBdr>
          <w:bottom w:val="single" w:sz="4" w:space="1" w:color="9CA3AF"/>
        </w:pBdr>
        <w:spacing w:after="200"/>
      </w:pPr>
      <w:r>
        <w:t xml:space="preserve"> </w:t>
      </w:r>
    </w:p>
    <w:p w14:paraId="4753E35E" w14:textId="77777777">
      <w:pPr>
        <w:pBdr>
          <w:bottom w:val="single" w:sz="4" w:space="1" w:color="9CA3AF"/>
        </w:pBdr>
        <w:spacing w:after="200"/>
      </w:pPr>
      <w:r>
        <w:t xml:space="preserve"> </w:t>
      </w:r>
    </w:p>
    <w:p w14:paraId="78467B11" w14:textId="77777777">
      <w:pPr>
        <w:pBdr>
          <w:bottom w:val="single" w:sz="4" w:space="1" w:color="9CA3AF"/>
        </w:pBdr>
        <w:spacing w:after="200"/>
      </w:pPr>
      <w:r>
        <w:t xml:space="preserve"> </w:t>
      </w:r>
    </w:p>
    <w:p w14:paraId="42EC26EC" w14:textId="77777777">
      <w:pPr>
        <w:pBdr>
          <w:bottom w:val="single" w:sz="4" w:space="1" w:color="9CA3AF"/>
        </w:pBdr>
        <w:spacing w:after="200"/>
      </w:pPr>
      <w:r>
        <w:t xml:space="preserve"> </w:t>
      </w:r>
    </w:p>
    <w:p w14:paraId="6D76A809" w14:textId="77777777">
      <w:pPr>
        <w:pBdr>
          <w:bottom w:val="single" w:sz="4" w:space="1" w:color="9CA3AF"/>
        </w:pBdr>
        <w:spacing w:after="200"/>
      </w:pPr>
    </w:p>
    <w:p w14:paraId="70A9BF92" w14:textId="77777777">
      <w:pPr>
        <w:pBdr>
          <w:bottom w:val="single" w:sz="4" w:space="1" w:color="9CA3AF"/>
        </w:pBdr>
        <w:spacing w:after="200"/>
      </w:pPr>
    </w:p>
    <w:p w14:paraId="6C5AD14D" w14:textId="77777777">
      <w:pPr>
        <w:pBdr>
          <w:bottom w:val="single" w:sz="4" w:space="1" w:color="9CA3AF"/>
        </w:pBdr>
        <w:spacing w:after="200"/>
      </w:pPr>
    </w:p>
    <w:p w14:paraId="263FE915" w14:textId="77777777">
      <w:pPr>
        <w:pBdr>
          <w:bottom w:val="single" w:sz="4" w:space="1" w:color="9CA3AF"/>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051B9178"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1457BDDD" w14:textId="77777777">
            <w:r>
              <w:rPr>
                <w:b/>
                <w:bCs/>
                <w:color w:val="1F2937"/>
                <w:sz w:val="24"/>
                <w:szCs w:val="24"/>
              </w:rPr>
              <w:lastRenderedPageBreak/>
              <w:t>SECTION 4 — Incident category</w:t>
            </w:r>
          </w:p>
        </w:tc>
      </w:tr>
    </w:tbl>
    <w:p w14:paraId="0DA85554" w14:textId="566798E8">
      <w:pPr>
        <w:spacing w:before="160" w:after="60"/>
      </w:pPr>
      <w:r>
        <w:rPr>
          <w:b/>
          <w:bCs/>
          <w:color w:val="1F2937"/>
        </w:rPr>
        <w:t>4</w:t>
      </w:r>
      <w:r>
        <w:rPr>
          <w:b/>
          <w:bCs/>
          <w:color w:val="1F2937"/>
        </w:rPr>
        <w:t>.1 Primary failure mode (check all that apply)</w:t>
      </w:r>
    </w:p>
    <w:p w14:paraId="0DDE3BDB" w14:textId="77777777">
      <w:pPr>
        <w:spacing w:after="80"/>
      </w:pPr>
      <w:r>
        <w:rPr>
          <w:i/>
          <w:iCs/>
          <w:color w:val="4B5563"/>
          <w:sz w:val="18"/>
          <w:szCs w:val="18"/>
        </w:rPr>
        <w:t>Categories aligned with prior VA OIG findings to support pattern recognition. Reference Appendix A of the strategy memo for OIG report numbers.</w:t>
      </w:r>
    </w:p>
    <w:p w14:paraId="21AAE6D9" w14:textId="77777777">
      <w:pPr>
        <w:spacing w:after="80"/>
      </w:pPr>
      <w:proofErr w:type="gramStart"/>
      <w:r>
        <w:rPr>
          <w:rFonts w:ascii="Segoe UI Symbol" w:hAnsi="Segoe UI Symbol" w:cs="Segoe UI Symbol"/>
        </w:rPr>
        <w:t>☐</w:t>
      </w:r>
      <w:r>
        <w:t xml:space="preserve">  Order</w:t>
      </w:r>
      <w:proofErr w:type="gramEnd"/>
      <w:r>
        <w:t xml:space="preserve"> routing failure (orders sent to "unknown queue" or undetectable location)</w:t>
      </w:r>
    </w:p>
    <w:p w14:paraId="3466E5B4" w14:textId="77777777">
      <w:pPr>
        <w:spacing w:after="80"/>
      </w:pPr>
      <w:proofErr w:type="gramStart"/>
      <w:r>
        <w:rPr>
          <w:rFonts w:ascii="Segoe UI Symbol" w:hAnsi="Segoe UI Symbol" w:cs="Segoe UI Symbol"/>
        </w:rPr>
        <w:t>☐</w:t>
      </w:r>
      <w:r>
        <w:t xml:space="preserve">  Medication</w:t>
      </w:r>
      <w:proofErr w:type="gramEnd"/>
      <w:r>
        <w:t xml:space="preserve"> ordering / reconciliation / dispensing error</w:t>
      </w:r>
    </w:p>
    <w:p w14:paraId="6A87002E" w14:textId="77777777">
      <w:pPr>
        <w:spacing w:after="80"/>
      </w:pPr>
      <w:proofErr w:type="gramStart"/>
      <w:r>
        <w:rPr>
          <w:rFonts w:ascii="Segoe UI Symbol" w:hAnsi="Segoe UI Symbol" w:cs="Segoe UI Symbol"/>
        </w:rPr>
        <w:t>☐</w:t>
      </w:r>
      <w:r>
        <w:t xml:space="preserve">  Active</w:t>
      </w:r>
      <w:proofErr w:type="gramEnd"/>
      <w:r>
        <w:t xml:space="preserve"> medication list inaccuracy</w:t>
      </w:r>
    </w:p>
    <w:p w14:paraId="581EE416" w14:textId="77777777">
      <w:pPr>
        <w:spacing w:after="80"/>
      </w:pPr>
      <w:proofErr w:type="gramStart"/>
      <w:r>
        <w:rPr>
          <w:rFonts w:ascii="Segoe UI Symbol" w:hAnsi="Segoe UI Symbol" w:cs="Segoe UI Symbol"/>
        </w:rPr>
        <w:t>☐</w:t>
      </w:r>
      <w:r>
        <w:t xml:space="preserve">  Pharmacy</w:t>
      </w:r>
      <w:proofErr w:type="gramEnd"/>
      <w:r>
        <w:t xml:space="preserve"> software failure</w:t>
      </w:r>
    </w:p>
    <w:p w14:paraId="3421181A" w14:textId="77777777">
      <w:pPr>
        <w:spacing w:after="80"/>
      </w:pPr>
      <w:proofErr w:type="gramStart"/>
      <w:r>
        <w:rPr>
          <w:rFonts w:ascii="Segoe UI Symbol" w:hAnsi="Segoe UI Symbol" w:cs="Segoe UI Symbol"/>
        </w:rPr>
        <w:t>☐</w:t>
      </w:r>
      <w:r>
        <w:t xml:space="preserve">  Lab</w:t>
      </w:r>
      <w:proofErr w:type="gramEnd"/>
      <w:r>
        <w:t xml:space="preserve"> order or result delivery failure</w:t>
      </w:r>
    </w:p>
    <w:p w14:paraId="74A67DCD" w14:textId="77777777">
      <w:pPr>
        <w:spacing w:after="80"/>
      </w:pPr>
      <w:proofErr w:type="gramStart"/>
      <w:r>
        <w:rPr>
          <w:rFonts w:ascii="Segoe UI Symbol" w:hAnsi="Segoe UI Symbol" w:cs="Segoe UI Symbol"/>
        </w:rPr>
        <w:t>☐</w:t>
      </w:r>
      <w:r>
        <w:t xml:space="preserve">  Imaging</w:t>
      </w:r>
      <w:proofErr w:type="gramEnd"/>
      <w:r>
        <w:t xml:space="preserve"> order or result delivery failure</w:t>
      </w:r>
    </w:p>
    <w:p w14:paraId="323511F1" w14:textId="77777777">
      <w:pPr>
        <w:spacing w:after="80"/>
      </w:pPr>
      <w:proofErr w:type="gramStart"/>
      <w:r>
        <w:rPr>
          <w:rFonts w:ascii="Segoe UI Symbol" w:hAnsi="Segoe UI Symbol" w:cs="Segoe UI Symbol"/>
        </w:rPr>
        <w:t>☐</w:t>
      </w:r>
      <w:r>
        <w:t xml:space="preserve">  Referral</w:t>
      </w:r>
      <w:proofErr w:type="gramEnd"/>
      <w:r>
        <w:t xml:space="preserve"> or consult failure</w:t>
      </w:r>
    </w:p>
    <w:p w14:paraId="38FE16C1" w14:textId="77777777">
      <w:pPr>
        <w:spacing w:after="80"/>
      </w:pPr>
      <w:proofErr w:type="gramStart"/>
      <w:r>
        <w:rPr>
          <w:rFonts w:ascii="Segoe UI Symbol" w:hAnsi="Segoe UI Symbol" w:cs="Segoe UI Symbol"/>
        </w:rPr>
        <w:t>☐</w:t>
      </w:r>
      <w:r>
        <w:t xml:space="preserve">  Scheduling</w:t>
      </w:r>
      <w:proofErr w:type="gramEnd"/>
      <w:r>
        <w:t xml:space="preserve"> system failure</w:t>
      </w:r>
    </w:p>
    <w:p w14:paraId="06BBB98B" w14:textId="77777777">
      <w:pPr>
        <w:spacing w:after="80"/>
      </w:pPr>
      <w:proofErr w:type="gramStart"/>
      <w:r>
        <w:rPr>
          <w:rFonts w:ascii="Segoe UI Symbol" w:hAnsi="Segoe UI Symbol" w:cs="Segoe UI Symbol"/>
        </w:rPr>
        <w:t>☐</w:t>
      </w:r>
      <w:r>
        <w:t xml:space="preserve">  Documentation</w:t>
      </w:r>
      <w:proofErr w:type="gramEnd"/>
      <w:r>
        <w:t xml:space="preserve"> auto-population failure</w:t>
      </w:r>
    </w:p>
    <w:p w14:paraId="6AC9AB49" w14:textId="77777777">
      <w:pPr>
        <w:spacing w:after="80"/>
      </w:pPr>
      <w:proofErr w:type="gramStart"/>
      <w:r>
        <w:rPr>
          <w:rFonts w:ascii="Segoe UI Symbol" w:hAnsi="Segoe UI Symbol" w:cs="Segoe UI Symbol"/>
        </w:rPr>
        <w:t>☐</w:t>
      </w:r>
      <w:r>
        <w:t xml:space="preserve">  System</w:t>
      </w:r>
      <w:proofErr w:type="gramEnd"/>
      <w:r>
        <w:t xml:space="preserve"> outage or major performance degradation</w:t>
      </w:r>
    </w:p>
    <w:p w14:paraId="55BD0CA6" w14:textId="77777777">
      <w:pPr>
        <w:spacing w:after="80"/>
      </w:pPr>
      <w:proofErr w:type="gramStart"/>
      <w:r>
        <w:rPr>
          <w:rFonts w:ascii="Segoe UI Symbol" w:hAnsi="Segoe UI Symbol" w:cs="Segoe UI Symbol"/>
        </w:rPr>
        <w:t>☐</w:t>
      </w:r>
      <w:r>
        <w:t xml:space="preserve">  Downtime</w:t>
      </w:r>
      <w:proofErr w:type="gramEnd"/>
      <w:r>
        <w:t xml:space="preserve"> procedure failure (downtime equipment, paper backup not available or not interoperable)</w:t>
      </w:r>
    </w:p>
    <w:p w14:paraId="509B232E" w14:textId="77777777">
      <w:pPr>
        <w:spacing w:after="80"/>
      </w:pPr>
      <w:proofErr w:type="gramStart"/>
      <w:r>
        <w:rPr>
          <w:rFonts w:ascii="Segoe UI Symbol" w:hAnsi="Segoe UI Symbol" w:cs="Segoe UI Symbol"/>
        </w:rPr>
        <w:t>☐</w:t>
      </w:r>
      <w:r>
        <w:t xml:space="preserve">  Communication</w:t>
      </w:r>
      <w:proofErr w:type="gramEnd"/>
      <w:r>
        <w:t xml:space="preserve"> failure between EHR and ancillary system (DoD, community care, third-party)</w:t>
      </w:r>
    </w:p>
    <w:p w14:paraId="6AA1849C" w14:textId="77777777">
      <w:pPr>
        <w:spacing w:after="80"/>
      </w:pPr>
      <w:proofErr w:type="gramStart"/>
      <w:r>
        <w:rPr>
          <w:rFonts w:ascii="Segoe UI Symbol" w:hAnsi="Segoe UI Symbol" w:cs="Segoe UI Symbol"/>
        </w:rPr>
        <w:t>☐</w:t>
      </w:r>
      <w:r>
        <w:t xml:space="preserve">  Training</w:t>
      </w:r>
      <w:proofErr w:type="gramEnd"/>
      <w:r>
        <w:t xml:space="preserve"> inadequacy (insufficient training led directly to incident)</w:t>
      </w:r>
    </w:p>
    <w:p w14:paraId="516939E6" w14:textId="77777777">
      <w:pPr>
        <w:spacing w:after="80"/>
      </w:pPr>
      <w:proofErr w:type="gramStart"/>
      <w:r>
        <w:rPr>
          <w:rFonts w:ascii="Segoe UI Symbol" w:hAnsi="Segoe UI Symbol" w:cs="Segoe UI Symbol"/>
        </w:rPr>
        <w:t>☐</w:t>
      </w:r>
      <w:r>
        <w:t xml:space="preserve">  Workflow</w:t>
      </w:r>
      <w:proofErr w:type="gramEnd"/>
      <w:r>
        <w:t xml:space="preserve"> design problem (system enforced unsafe workflow)</w:t>
      </w:r>
    </w:p>
    <w:p w14:paraId="4CDF159B" w14:textId="77777777">
      <w:pPr>
        <w:spacing w:after="80"/>
      </w:pPr>
      <w:proofErr w:type="gramStart"/>
      <w:r>
        <w:rPr>
          <w:rFonts w:ascii="Segoe UI Symbol" w:hAnsi="Segoe UI Symbol" w:cs="Segoe UI Symbol"/>
        </w:rPr>
        <w:t>☐</w:t>
      </w:r>
      <w:r>
        <w:t xml:space="preserve">  Other</w:t>
      </w:r>
      <w:proofErr w:type="gramEnd"/>
      <w:r>
        <w:t xml:space="preserve"> (specify):</w:t>
      </w:r>
    </w:p>
    <w:p w14:paraId="254CA81D" w14:textId="77777777">
      <w:pPr>
        <w:pBdr>
          <w:bottom w:val="single" w:sz="4" w:space="1" w:color="9CA3AF"/>
        </w:pBdr>
        <w:spacing w:after="200"/>
      </w:pPr>
      <w:r>
        <w:t xml:space="preserve"> </w:t>
      </w:r>
    </w:p>
    <w:p w14:paraId="789E0D37" w14:textId="3A75D14B">
      <w:pPr>
        <w:pBdr>
          <w:bottom w:val="single" w:sz="4" w:space="1" w:color="9CA3AF"/>
        </w:pBdr>
        <w:spacing w:after="200"/>
      </w:pPr>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2BBFA524"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626DDCE2" w14:textId="38C56070">
            <w:r>
              <w:rPr>
                <w:b/>
                <w:bCs/>
                <w:color w:val="1F2937"/>
                <w:sz w:val="24"/>
                <w:szCs w:val="24"/>
              </w:rPr>
              <w:lastRenderedPageBreak/>
              <w:t>SECTION 5A — Patient impact</w:t>
            </w:r>
          </w:p>
        </w:tc>
      </w:tr>
    </w:tbl>
    <w:p w14:paraId="722F2427" w14:textId="77777777">
      <w:pPr>
        <w:spacing w:before="160" w:after="60"/>
      </w:pPr>
      <w:r>
        <w:rPr>
          <w:b/>
          <w:bCs/>
          <w:color w:val="1F2937"/>
        </w:rPr>
        <w:t>5.1 Severity (check one — closest fit)</w:t>
      </w:r>
    </w:p>
    <w:p w14:paraId="158AD05A" w14:textId="77777777">
      <w:pPr>
        <w:spacing w:after="80"/>
      </w:pPr>
      <w:r>
        <w:rPr>
          <w:i/>
          <w:iCs/>
          <w:color w:val="4B5563"/>
          <w:sz w:val="18"/>
          <w:szCs w:val="18"/>
        </w:rPr>
        <w:t>Aligned with common patient-safety taxonomies (NCC MERP for medication; AHRQ Common Formats for system).</w:t>
      </w:r>
    </w:p>
    <w:p w14:paraId="0967BAA1" w14:textId="77777777">
      <w:pPr>
        <w:spacing w:after="80"/>
      </w:pPr>
      <w:proofErr w:type="gramStart"/>
      <w:r>
        <w:t>☐  Unsafe</w:t>
      </w:r>
      <w:proofErr w:type="gramEnd"/>
      <w:r>
        <w:t xml:space="preserve"> condition / near-miss — incident occurred but did not reach patient</w:t>
      </w:r>
    </w:p>
    <w:p w14:paraId="6B6F7339" w14:textId="77777777">
      <w:pPr>
        <w:spacing w:after="80"/>
      </w:pPr>
      <w:proofErr w:type="gramStart"/>
      <w:r>
        <w:t>☐  No</w:t>
      </w:r>
      <w:proofErr w:type="gramEnd"/>
      <w:r>
        <w:t xml:space="preserve"> harm — incident reached patient but no detectable effect</w:t>
      </w:r>
    </w:p>
    <w:p w14:paraId="2DA44F83" w14:textId="77777777">
      <w:pPr>
        <w:spacing w:after="80"/>
      </w:pPr>
      <w:proofErr w:type="gramStart"/>
      <w:r>
        <w:t>☐  Mild</w:t>
      </w:r>
      <w:proofErr w:type="gramEnd"/>
      <w:r>
        <w:t xml:space="preserve"> harm — temporary symptoms, no intervention required</w:t>
      </w:r>
    </w:p>
    <w:p w14:paraId="138B2D88" w14:textId="77777777">
      <w:pPr>
        <w:spacing w:after="80"/>
      </w:pPr>
      <w:proofErr w:type="gramStart"/>
      <w:r>
        <w:t>☐  Moderate</w:t>
      </w:r>
      <w:proofErr w:type="gramEnd"/>
      <w:r>
        <w:t xml:space="preserve"> harm — required intervention, no permanent effect</w:t>
      </w:r>
    </w:p>
    <w:p w14:paraId="5D5E852F" w14:textId="77777777">
      <w:pPr>
        <w:spacing w:after="80"/>
      </w:pPr>
      <w:proofErr w:type="gramStart"/>
      <w:r>
        <w:t>☐  Severe</w:t>
      </w:r>
      <w:proofErr w:type="gramEnd"/>
      <w:r>
        <w:t xml:space="preserve"> harm — required significant intervention, hospitalization, or caused permanent or lasting effect</w:t>
      </w:r>
    </w:p>
    <w:p w14:paraId="0E28408E" w14:textId="77777777">
      <w:pPr>
        <w:spacing w:after="80"/>
      </w:pPr>
      <w:proofErr w:type="gramStart"/>
      <w:r>
        <w:t>☐  Death</w:t>
      </w:r>
      <w:proofErr w:type="gramEnd"/>
      <w:r>
        <w:t xml:space="preserve"> — incident contributed to or caused death</w:t>
      </w:r>
    </w:p>
    <w:p w14:paraId="39415151" w14:textId="77777777">
      <w:pPr>
        <w:spacing w:after="80"/>
      </w:pPr>
      <w:proofErr w:type="gramStart"/>
      <w:r>
        <w:t>☐  Unknown</w:t>
      </w:r>
      <w:proofErr w:type="gramEnd"/>
      <w:r>
        <w:t xml:space="preserve"> / pending</w:t>
      </w:r>
    </w:p>
    <w:p w14:paraId="19D96014" w14:textId="77777777">
      <w:pPr>
        <w:spacing w:before="160" w:after="60"/>
      </w:pPr>
      <w:r>
        <w:rPr>
          <w:b/>
          <w:bCs/>
          <w:color w:val="1F2937"/>
        </w:rPr>
        <w:t>5.2 Number of patients affected</w:t>
      </w:r>
    </w:p>
    <w:p w14:paraId="434795F7" w14:textId="77777777">
      <w:pPr>
        <w:spacing w:after="80"/>
      </w:pPr>
      <w:r>
        <w:rPr>
          <w:i/>
          <w:iCs/>
          <w:color w:val="4B5563"/>
          <w:sz w:val="18"/>
          <w:szCs w:val="18"/>
        </w:rPr>
        <w:t>Use range if exact count is uncertain (e.g., "approximately 5–10 patients"). If pattern is system-wide and population-level, note that.</w:t>
      </w:r>
    </w:p>
    <w:p w14:paraId="2C50EF23" w14:textId="77777777">
      <w:pPr>
        <w:pBdr>
          <w:bottom w:val="single" w:sz="4" w:space="1" w:color="9CA3AF"/>
        </w:pBdr>
        <w:spacing w:after="200"/>
      </w:pPr>
      <w:r>
        <w:t xml:space="preserve"> </w:t>
      </w:r>
    </w:p>
    <w:p w14:paraId="37F2D35A" w14:textId="77777777">
      <w:pPr>
        <w:spacing w:before="160" w:after="60"/>
      </w:pPr>
      <w:r>
        <w:rPr>
          <w:b/>
          <w:bCs/>
          <w:color w:val="1F2937"/>
        </w:rPr>
        <w:t>5.3 Description of impact</w:t>
      </w:r>
    </w:p>
    <w:p w14:paraId="79A30207" w14:textId="77777777">
      <w:pPr>
        <w:pBdr>
          <w:bottom w:val="single" w:sz="4" w:space="1" w:color="9CA3AF"/>
        </w:pBdr>
        <w:spacing w:after="200"/>
      </w:pPr>
      <w:r>
        <w:t xml:space="preserve"> </w:t>
      </w:r>
    </w:p>
    <w:p w14:paraId="7D91BAAE" w14:textId="77777777">
      <w:pPr>
        <w:pBdr>
          <w:bottom w:val="single" w:sz="4" w:space="1" w:color="9CA3AF"/>
        </w:pBdr>
        <w:spacing w:after="200"/>
      </w:pPr>
      <w:r>
        <w:t xml:space="preserve"> </w:t>
      </w:r>
    </w:p>
    <w:p w14:paraId="5AB393E1" w14:textId="77777777">
      <w:pPr>
        <w:pBdr>
          <w:bottom w:val="single" w:sz="4" w:space="1" w:color="9CA3AF"/>
        </w:pBdr>
        <w:spacing w:after="200"/>
      </w:pPr>
      <w:r>
        <w:t xml:space="preserve"> </w:t>
      </w:r>
    </w:p>
    <w:p w14:paraId="209772C5" w14:textId="77777777">
      <w:pPr>
        <w:pBdr>
          <w:bottom w:val="single" w:sz="4" w:space="1" w:color="9CA3AF"/>
        </w:pBdr>
        <w:spacing w:after="200"/>
      </w:pPr>
      <w:r>
        <w:t xml:space="preserve"> </w:t>
      </w:r>
    </w:p>
    <w:tbl>
      <w:tblPr>
        <w:tblW w:w="9360" w:type="dxa"/>
        <w:tblLook w:val="04A0" w:firstRow="1" w:lastRow="0" w:firstColumn="1" w:lastColumn="0" w:noHBand="0" w:noVBand="1"/>
      </w:tblPr>
      <w:tblGrid>
        <w:gridCol w:w="9360"/>
      </w:tblGrid>
      <w:tr w14:paraId="332140D5"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hideMark/>
          </w:tcPr>
          <w:p w14:paraId="6D1AAB0F" w14:textId="7149D6E1">
            <w:pPr>
              <w:rPr>
                <w:rFonts w:ascii="-webkit-standard" w:eastAsia="Times New Roman" w:hAnsi="-webkit-standard" w:cs="Times New Roman"/>
                <w:color w:val="000000"/>
                <w:sz w:val="24"/>
                <w:szCs w:val="24"/>
                <w:lang w:bidi="ar-SA"/>
              </w:rPr>
            </w:pPr>
            <w:r>
              <w:rPr>
                <w:rFonts w:eastAsia="Times New Roman"/>
                <w:b/>
                <w:bCs/>
                <w:color w:val="1F2937"/>
                <w:sz w:val="24"/>
                <w:szCs w:val="24"/>
                <w:lang w:bidi="ar-SA"/>
              </w:rPr>
              <w:t>SECTION 5B — Clinician impact</w:t>
            </w:r>
          </w:p>
        </w:tc>
      </w:tr>
    </w:tbl>
    <w:p w14:paraId="1DC0F1E4" w14:textId="77777777">
      <w:pPr>
        <w:rPr>
          <w:rFonts w:ascii="Times New Roman" w:eastAsia="Times New Roman" w:hAnsi="Times New Roman" w:cs="Times New Roman"/>
          <w:sz w:val="24"/>
          <w:szCs w:val="24"/>
          <w:lang w:bidi="ar-SA"/>
        </w:rPr>
      </w:pPr>
    </w:p>
    <w:p w14:paraId="25BA9273" w14:textId="77777777">
      <w:pPr>
        <w:spacing w:before="160" w:after="60"/>
      </w:pPr>
      <w:r>
        <w:rPr>
          <w:b/>
          <w:bCs/>
          <w:color w:val="1F2937"/>
        </w:rPr>
        <w:t>5.4 Clinician impact (check all that apply)</w:t>
      </w:r>
    </w:p>
    <w:p w14:paraId="369F2BC5" w14:textId="7B554117">
      <w:pPr>
        <w:spacing w:after="80"/>
      </w:pPr>
      <w:proofErr w:type="gramStart"/>
      <w:r>
        <w:rPr>
          <w:rFonts w:ascii="Segoe UI Symbol" w:hAnsi="Segoe UI Symbol" w:cs="Segoe UI Symbol"/>
        </w:rPr>
        <w:t>☐</w:t>
      </w:r>
      <w:r>
        <w:t xml:space="preserve">  Decreased</w:t>
      </w:r>
      <w:proofErr w:type="gramEnd"/>
      <w:r>
        <w:t xml:space="preserve"> Productivity</w:t>
      </w:r>
    </w:p>
    <w:p w14:paraId="135F0022" w14:textId="47F1776C">
      <w:pPr>
        <w:spacing w:after="80"/>
      </w:pPr>
      <w:proofErr w:type="gramStart"/>
      <w:r>
        <w:rPr>
          <w:rFonts w:ascii="Segoe UI Symbol" w:hAnsi="Segoe UI Symbol" w:cs="Segoe UI Symbol"/>
        </w:rPr>
        <w:t>☐</w:t>
      </w:r>
      <w:r>
        <w:t xml:space="preserve">  Need</w:t>
      </w:r>
      <w:proofErr w:type="gramEnd"/>
      <w:r>
        <w:t xml:space="preserve"> for Re-work</w:t>
      </w:r>
    </w:p>
    <w:p w14:paraId="3E94D5F1" w14:textId="374B7BC6">
      <w:pPr>
        <w:spacing w:after="80"/>
      </w:pPr>
      <w:proofErr w:type="gramStart"/>
      <w:r>
        <w:rPr>
          <w:rFonts w:ascii="Segoe UI Symbol" w:hAnsi="Segoe UI Symbol" w:cs="Segoe UI Symbol"/>
        </w:rPr>
        <w:t>☐</w:t>
      </w:r>
      <w:r>
        <w:t xml:space="preserve">  Anxiety</w:t>
      </w:r>
      <w:proofErr w:type="gramEnd"/>
      <w:r>
        <w:t>/Burnout</w:t>
      </w:r>
    </w:p>
    <w:p w14:paraId="6EE0643A" w14:textId="65D830DF">
      <w:pPr>
        <w:spacing w:after="80"/>
      </w:pPr>
      <w:proofErr w:type="gramStart"/>
      <w:r>
        <w:rPr>
          <w:rFonts w:ascii="Segoe UI Symbol" w:hAnsi="Segoe UI Symbol" w:cs="Segoe UI Symbol"/>
        </w:rPr>
        <w:t>☐  Moral</w:t>
      </w:r>
      <w:proofErr w:type="gramEnd"/>
      <w:r>
        <w:rPr>
          <w:rFonts w:ascii="Segoe UI Symbol" w:hAnsi="Segoe UI Symbol" w:cs="Segoe UI Symbol"/>
        </w:rPr>
        <w:t xml:space="preserve"> distress / loss of trust in the system</w:t>
      </w:r>
    </w:p>
    <w:p w14:paraId="59229597" w14:textId="31D7C1F7">
      <w:pPr>
        <w:spacing w:after="80"/>
      </w:pPr>
      <w:proofErr w:type="gramStart"/>
      <w:r>
        <w:rPr>
          <w:rFonts w:ascii="Segoe UI Symbol" w:hAnsi="Segoe UI Symbol" w:cs="Segoe UI Symbol"/>
        </w:rPr>
        <w:t>☐  Other</w:t>
      </w:r>
      <w:proofErr w:type="gramEnd"/>
      <w:r>
        <w:rPr>
          <w:rFonts w:ascii="Segoe UI Symbol" w:hAnsi="Segoe UI Symbol" w:cs="Segoe UI Symbol"/>
        </w:rPr>
        <w:t xml:space="preserve"> (specify):</w:t>
      </w:r>
    </w:p>
    <w:p w14:paraId="0594AD91" w14:textId="77777777">
      <w:pPr>
        <w:spacing w:before="160" w:after="60"/>
        <w:rPr>
          <w:b/>
          <w:bCs/>
          <w:color w:val="1F2937"/>
        </w:rPr>
      </w:pPr>
      <w:r>
        <w:rPr>
          <w:b/>
          <w:bCs/>
          <w:color w:val="1F2937"/>
        </w:rPr>
        <w:t>5.5 Psychological safety</w:t>
      </w:r>
    </w:p>
    <w:p w14:paraId="54CF2C80" w14:textId="5543B503">
      <w:pPr>
        <w:spacing w:after="80"/>
      </w:pPr>
      <w:r>
        <w:rPr>
          <w:b/>
          <w:bCs/>
          <w:color w:val="1F2937"/>
        </w:rPr>
        <w:t xml:space="preserve">Did you feel safe reporting this to your manager?   </w:t>
      </w:r>
      <w:proofErr w:type="gramStart"/>
      <w:r>
        <w:rPr>
          <w:b/>
          <w:bCs/>
          <w:color w:val="1F2937"/>
        </w:rPr>
        <w:t>☐  Yes</w:t>
      </w:r>
      <w:proofErr w:type="gramEnd"/>
      <w:r>
        <w:rPr>
          <w:b/>
          <w:bCs/>
          <w:color w:val="1F2937"/>
        </w:rPr>
        <w:t xml:space="preserve">   </w:t>
      </w:r>
      <w:proofErr w:type="gramStart"/>
      <w:r>
        <w:rPr>
          <w:b/>
          <w:bCs/>
          <w:color w:val="1F2937"/>
        </w:rPr>
        <w:t>☐  No</w:t>
      </w:r>
      <w:proofErr w:type="gramEnd"/>
    </w:p>
    <w:p w14:paraId="2AEB0850" w14:textId="489F2F7F">
      <w:pPr>
        <w:spacing w:after="80"/>
      </w:pPr>
      <w:r>
        <w:rPr>
          <w:rFonts w:ascii="Segoe UI Symbol" w:hAnsi="Segoe UI Symbol" w:cs="Segoe UI Symbol"/>
        </w:rPr>
        <w:t xml:space="preserve">Did you submit a ticket or JPSR (Joint Patient Safety Report)?   </w:t>
      </w:r>
      <w:proofErr w:type="gramStart"/>
      <w:r>
        <w:rPr>
          <w:rFonts w:ascii="Segoe UI Symbol" w:hAnsi="Segoe UI Symbol" w:cs="Segoe UI Symbol"/>
        </w:rPr>
        <w:t>☐  Yes</w:t>
      </w:r>
      <w:proofErr w:type="gramEnd"/>
      <w:r>
        <w:rPr>
          <w:rFonts w:ascii="Segoe UI Symbol" w:hAnsi="Segoe UI Symbol" w:cs="Segoe UI Symbol"/>
        </w:rPr>
        <w:t xml:space="preserve">   </w:t>
      </w:r>
      <w:proofErr w:type="gramStart"/>
      <w:r>
        <w:rPr>
          <w:rFonts w:ascii="Segoe UI Symbol" w:hAnsi="Segoe UI Symbol" w:cs="Segoe UI Symbol"/>
        </w:rPr>
        <w:t>☐  No</w:t>
      </w:r>
      <w:proofErr w:type="gramEnd"/>
      <w:r>
        <w:rPr>
          <w:rFonts w:ascii="Segoe UI Symbol" w:hAnsi="Segoe UI Symbol" w:cs="Segoe UI Symbol"/>
        </w:rPr>
        <w:t xml:space="preserve"> — reference # if known:</w:t>
      </w:r>
    </w:p>
    <w:p w14:paraId="13109DA9" w14:textId="1884429D">
      <w:pPr>
        <w:pBdr>
          <w:bottom w:val="single" w:sz="4" w:space="1" w:color="9CA3AF"/>
        </w:pBdr>
        <w:spacing w:after="200"/>
      </w:pPr>
    </w:p>
    <w:p w14:paraId="7B6F42B4" w14:textId="77777777">
      <w:pPr>
        <w:pBdr>
          <w:bottom w:val="single" w:sz="4" w:space="1" w:color="9CA3AF"/>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74599F65"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3B137418" w14:textId="77777777">
            <w:r>
              <w:rPr>
                <w:b/>
                <w:bCs/>
                <w:color w:val="1F2937"/>
                <w:sz w:val="24"/>
                <w:szCs w:val="24"/>
              </w:rPr>
              <w:t>SECTION 6 — Witnesses</w:t>
            </w:r>
          </w:p>
        </w:tc>
      </w:tr>
    </w:tbl>
    <w:p w14:paraId="2D44EE5D" w14:textId="77777777">
      <w:pPr>
        <w:spacing w:after="100" w:line="280" w:lineRule="auto"/>
      </w:pPr>
      <w:r>
        <w:t>List witnesses by role and coded identifier (e.g., "Charge RN, Patient A's primary nurse, [Coded: RN-B]"). Maintain a separate, secured key on a personal device that maps coded identifiers to names. Do not include the key in this form.</w:t>
      </w:r>
    </w:p>
    <w:p w14:paraId="48792540" w14:textId="77777777">
      <w:pPr>
        <w:pBdr>
          <w:bottom w:val="single" w:sz="4" w:space="1" w:color="9CA3AF"/>
        </w:pBdr>
        <w:spacing w:after="200"/>
      </w:pPr>
      <w:r>
        <w:t xml:space="preserve"> </w:t>
      </w:r>
    </w:p>
    <w:p w14:paraId="6A96DC51" w14:textId="77777777">
      <w:pPr>
        <w:pBdr>
          <w:bottom w:val="single" w:sz="4" w:space="1" w:color="9CA3AF"/>
        </w:pBdr>
        <w:spacing w:after="200"/>
      </w:pPr>
      <w:r>
        <w:t xml:space="preserve"> </w:t>
      </w:r>
    </w:p>
    <w:p w14:paraId="388F07FC" w14:textId="77777777">
      <w:pPr>
        <w:pBdr>
          <w:bottom w:val="single" w:sz="4" w:space="1" w:color="9CA3AF"/>
        </w:pBdr>
        <w:spacing w:after="200"/>
      </w:pPr>
      <w:r>
        <w:t xml:space="preserve"> </w:t>
      </w:r>
    </w:p>
    <w:p w14:paraId="62323259" w14:textId="77777777">
      <w:pPr>
        <w:pBdr>
          <w:bottom w:val="single" w:sz="4" w:space="1" w:color="9CA3AF"/>
        </w:pBdr>
        <w:spacing w:after="200"/>
      </w:pPr>
      <w:r>
        <w:t xml:space="preserve"> </w:t>
      </w:r>
    </w:p>
    <w:p w14:paraId="3AC27E70" w14:textId="77777777">
      <w:pPr>
        <w:pBdr>
          <w:bottom w:val="single" w:sz="4" w:space="1" w:color="9CA3AF"/>
        </w:pBdr>
        <w:spacing w:after="200"/>
      </w:pPr>
      <w:r>
        <w:t xml:space="preserve"> </w:t>
      </w:r>
    </w:p>
    <w:p w14:paraId="52795D10" w14:textId="77777777">
      <w:pPr>
        <w:pBdr>
          <w:bottom w:val="single" w:sz="4" w:space="1" w:color="9CA3AF"/>
        </w:pBdr>
        <w:spacing w:after="200"/>
      </w:pPr>
      <w:r>
        <w:t xml:space="preserve"> </w:t>
      </w:r>
    </w:p>
    <w:p w14:paraId="14F40881" w14:textId="77777777">
      <w:pPr>
        <w:pBdr>
          <w:bottom w:val="single" w:sz="4" w:space="1" w:color="9CA3AF"/>
        </w:pBdr>
        <w:spacing w:after="200"/>
      </w:pPr>
      <w:r>
        <w:t xml:space="preserve"> </w:t>
      </w:r>
    </w:p>
    <w:p w14:paraId="70F70099" w14:textId="77777777">
      <w:pPr>
        <w:pBdr>
          <w:bottom w:val="single" w:sz="4" w:space="1" w:color="9CA3AF"/>
        </w:pBdr>
        <w:spacing w:after="20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54C03E88"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4EDECF37" w14:textId="77777777">
            <w:r>
              <w:rPr>
                <w:b/>
                <w:bCs/>
                <w:color w:val="1F2937"/>
                <w:sz w:val="24"/>
                <w:szCs w:val="24"/>
              </w:rPr>
              <w:t>SECTION 7 — Supporting documents</w:t>
            </w:r>
          </w:p>
        </w:tc>
      </w:tr>
    </w:tbl>
    <w:p w14:paraId="6E2BC12B" w14:textId="77777777">
      <w:pPr>
        <w:spacing w:after="100" w:line="280" w:lineRule="auto"/>
      </w:pPr>
      <w:r>
        <w:t>Note documents that exist (do not attach to a form circulated by email). Investigators will request them through formal channels.</w:t>
      </w:r>
    </w:p>
    <w:p w14:paraId="1F9E7FB1" w14:textId="77777777">
      <w:pPr>
        <w:spacing w:after="80"/>
      </w:pPr>
      <w:proofErr w:type="gramStart"/>
      <w:r>
        <w:t>☐  Screenshot</w:t>
      </w:r>
      <w:proofErr w:type="gramEnd"/>
      <w:r>
        <w:t>(s) of EHR error or screen state — deidentified</w:t>
      </w:r>
    </w:p>
    <w:p w14:paraId="1E956086" w14:textId="77777777">
      <w:pPr>
        <w:spacing w:after="80"/>
      </w:pPr>
      <w:proofErr w:type="gramStart"/>
      <w:r>
        <w:t>☐  Order</w:t>
      </w:r>
      <w:proofErr w:type="gramEnd"/>
      <w:r>
        <w:t xml:space="preserve"> or audit log excerpts — deidentified</w:t>
      </w:r>
    </w:p>
    <w:p w14:paraId="63A4C97F" w14:textId="77777777">
      <w:pPr>
        <w:spacing w:after="80"/>
      </w:pPr>
      <w:proofErr w:type="gramStart"/>
      <w:r>
        <w:t>☐  Email</w:t>
      </w:r>
      <w:proofErr w:type="gramEnd"/>
      <w:r>
        <w:t xml:space="preserve"> or chat communication regarding the incident</w:t>
      </w:r>
    </w:p>
    <w:p w14:paraId="43D2FEA7" w14:textId="77777777">
      <w:pPr>
        <w:spacing w:after="80"/>
      </w:pPr>
      <w:proofErr w:type="gramStart"/>
      <w:r>
        <w:t>☐  Patient</w:t>
      </w:r>
      <w:proofErr w:type="gramEnd"/>
      <w:r>
        <w:t xml:space="preserve"> safety event report filed within VA system (note ID number if known)</w:t>
      </w:r>
    </w:p>
    <w:p w14:paraId="10802DA1" w14:textId="77777777">
      <w:pPr>
        <w:spacing w:after="80"/>
      </w:pPr>
      <w:proofErr w:type="gramStart"/>
      <w:r>
        <w:t>☐  Other</w:t>
      </w:r>
      <w:proofErr w:type="gramEnd"/>
      <w:r>
        <w:t xml:space="preserve"> (specify):</w:t>
      </w:r>
    </w:p>
    <w:p w14:paraId="20632E9D" w14:textId="77777777">
      <w:pPr>
        <w:pBdr>
          <w:bottom w:val="single" w:sz="4" w:space="1" w:color="9CA3AF"/>
        </w:pBdr>
        <w:spacing w:after="200"/>
      </w:pPr>
      <w:r>
        <w:t xml:space="preserve"> </w:t>
      </w:r>
    </w:p>
    <w:p w14:paraId="18000E8F" w14:textId="77777777">
      <w:pPr>
        <w:pBdr>
          <w:bottom w:val="single" w:sz="4" w:space="1" w:color="9CA3AF"/>
        </w:pBdr>
        <w:spacing w:after="20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5F61F8E2" w14:textId="77777777">
        <w:tc>
          <w:tcPr>
            <w:tcW w:w="9360" w:type="dxa"/>
            <w:tcBorders>
              <w:top w:val="single" w:sz="8" w:space="0" w:color="B91C1C"/>
              <w:left w:val="single" w:sz="8" w:space="0" w:color="B91C1C"/>
              <w:bottom w:val="single" w:sz="8" w:space="0" w:color="B91C1C"/>
              <w:right w:val="single" w:sz="8" w:space="0" w:color="B91C1C"/>
            </w:tcBorders>
            <w:shd w:val="clear" w:color="auto" w:fill="FEF2F2"/>
            <w:tcMar>
              <w:top w:w="160" w:type="dxa"/>
              <w:left w:w="200" w:type="dxa"/>
              <w:bottom w:w="160" w:type="dxa"/>
              <w:right w:w="200" w:type="dxa"/>
            </w:tcMar>
          </w:tcPr>
          <w:p w14:paraId="553B4F67" w14:textId="77777777">
            <w:pPr>
              <w:spacing w:line="280" w:lineRule="auto"/>
            </w:pPr>
            <w:r>
              <w:rPr>
                <w:sz w:val="21"/>
                <w:szCs w:val="21"/>
              </w:rPr>
              <w:t>Screenshot caution: Many EHR screenshots include header bars that contain patient identifiers even when the body of the screen looks deidentified. Crop or redact aggressively. When in doubt, describe what the screen showed in narrative form rather than attaching an image.</w:t>
            </w:r>
          </w:p>
        </w:tc>
      </w:tr>
    </w:tbl>
    <w:p w14:paraId="4C95E778" w14:textId="77777777">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2E269FC4"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2DDDB99E" w14:textId="77777777">
            <w:r>
              <w:rPr>
                <w:b/>
                <w:bCs/>
                <w:color w:val="1F2937"/>
                <w:sz w:val="24"/>
                <w:szCs w:val="24"/>
              </w:rPr>
              <w:lastRenderedPageBreak/>
              <w:t>SECTION 8 — Pattern continuity (link to prior OIG findings)</w:t>
            </w:r>
          </w:p>
        </w:tc>
      </w:tr>
    </w:tbl>
    <w:p w14:paraId="1ACBF2FA" w14:textId="77777777">
      <w:pPr>
        <w:spacing w:after="100" w:line="280" w:lineRule="auto"/>
      </w:pPr>
      <w:r>
        <w:t>OIG action is significantly faster when a new disclosure is recognizable as continuation of an established pattern. Check any that apply.</w:t>
      </w:r>
    </w:p>
    <w:p w14:paraId="1D353352" w14:textId="70A4A0F3">
      <w:pPr>
        <w:spacing w:after="80"/>
      </w:pPr>
      <w:proofErr w:type="gramStart"/>
      <w:r>
        <w:t xml:space="preserve">☐  </w:t>
      </w:r>
      <w:r>
        <w:t>“</w:t>
      </w:r>
      <w:proofErr w:type="gramEnd"/>
      <w:r>
        <w:t>U</w:t>
      </w:r>
      <w:r>
        <w:t>nknown queue</w:t>
      </w:r>
      <w:r>
        <w:t xml:space="preserve">” </w:t>
      </w:r>
    </w:p>
    <w:p w14:paraId="1CFE83BE" w14:textId="3C4C25AE">
      <w:pPr>
        <w:spacing w:after="80"/>
      </w:pPr>
      <w:proofErr w:type="gramStart"/>
      <w:r>
        <w:t xml:space="preserve">☐  </w:t>
      </w:r>
      <w:r>
        <w:t>Medication</w:t>
      </w:r>
      <w:proofErr w:type="gramEnd"/>
      <w:r>
        <w:t xml:space="preserve"> management failure </w:t>
      </w:r>
    </w:p>
    <w:p w14:paraId="6B10D747" w14:textId="1E1FCFED">
      <w:pPr>
        <w:spacing w:after="80"/>
      </w:pPr>
      <w:proofErr w:type="gramStart"/>
      <w:r>
        <w:t xml:space="preserve">☐  </w:t>
      </w:r>
      <w:r>
        <w:t>Major</w:t>
      </w:r>
      <w:proofErr w:type="gramEnd"/>
      <w:r>
        <w:t xml:space="preserve"> performance incident </w:t>
      </w:r>
      <w:r>
        <w:t xml:space="preserve">(delays, downtime, outages)  </w:t>
      </w:r>
      <w:r>
        <w:t xml:space="preserve"> </w:t>
      </w:r>
    </w:p>
    <w:p w14:paraId="001FB509" w14:textId="30CAF6D9">
      <w:pPr>
        <w:spacing w:after="80"/>
      </w:pPr>
      <w:proofErr w:type="gramStart"/>
      <w:r>
        <w:t xml:space="preserve">☐  </w:t>
      </w:r>
      <w:r>
        <w:t>Training</w:t>
      </w:r>
      <w:proofErr w:type="gramEnd"/>
      <w:r>
        <w:t xml:space="preserve"> inadequacy </w:t>
      </w:r>
    </w:p>
    <w:p w14:paraId="4D8A9200" w14:textId="77777777">
      <w:pPr>
        <w:spacing w:after="80"/>
      </w:pPr>
      <w:proofErr w:type="gramStart"/>
      <w:r>
        <w:t>☐  Novel</w:t>
      </w:r>
      <w:proofErr w:type="gramEnd"/>
      <w:r>
        <w:t xml:space="preserve"> pattern not previously documented — describe:</w:t>
      </w:r>
    </w:p>
    <w:p w14:paraId="580FD8F9" w14:textId="77777777">
      <w:pPr>
        <w:pBdr>
          <w:bottom w:val="single" w:sz="4" w:space="1" w:color="9CA3AF"/>
        </w:pBdr>
        <w:spacing w:after="200"/>
      </w:pPr>
      <w:r>
        <w:t xml:space="preserve"> </w:t>
      </w:r>
    </w:p>
    <w:p w14:paraId="7303B387" w14:textId="77777777">
      <w:pPr>
        <w:pBdr>
          <w:bottom w:val="single" w:sz="4" w:space="1" w:color="9CA3AF"/>
        </w:pBdr>
        <w:spacing w:after="200"/>
      </w:pPr>
      <w:r>
        <w:t xml:space="preserve"> </w:t>
      </w:r>
    </w:p>
    <w:p w14:paraId="700B3189" w14:textId="77777777">
      <w:pPr>
        <w:pBdr>
          <w:bottom w:val="single" w:sz="4" w:space="1" w:color="9CA3AF"/>
        </w:pBdr>
        <w:spacing w:after="20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373ED5CC"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78783965" w14:textId="77777777">
            <w:r>
              <w:rPr>
                <w:b/>
                <w:bCs/>
                <w:color w:val="1F2937"/>
                <w:sz w:val="24"/>
                <w:szCs w:val="24"/>
              </w:rPr>
              <w:t>SECTION 9 — Requested action</w:t>
            </w:r>
          </w:p>
        </w:tc>
      </w:tr>
    </w:tbl>
    <w:p w14:paraId="009CC190" w14:textId="77777777">
      <w:pPr>
        <w:spacing w:after="100" w:line="280" w:lineRule="auto"/>
      </w:pPr>
      <w:r>
        <w:t>What outcome are you asking from investigators? Be specific. "Investigate" is too broad; "investigate why orders for [category] are not delivering at [facility] and require contractor remediation within [timeframe]" is actionable.</w:t>
      </w:r>
    </w:p>
    <w:p w14:paraId="18BA6B9C" w14:textId="77777777">
      <w:pPr>
        <w:pBdr>
          <w:bottom w:val="single" w:sz="4" w:space="1" w:color="9CA3AF"/>
        </w:pBdr>
        <w:spacing w:after="200"/>
      </w:pPr>
      <w:r>
        <w:t xml:space="preserve"> </w:t>
      </w:r>
    </w:p>
    <w:p w14:paraId="42BEFF4A" w14:textId="77777777">
      <w:pPr>
        <w:pBdr>
          <w:bottom w:val="single" w:sz="4" w:space="1" w:color="9CA3AF"/>
        </w:pBdr>
        <w:spacing w:after="200"/>
      </w:pPr>
      <w:r>
        <w:t xml:space="preserve"> </w:t>
      </w:r>
    </w:p>
    <w:p w14:paraId="34548107" w14:textId="77777777">
      <w:pPr>
        <w:pBdr>
          <w:bottom w:val="single" w:sz="4" w:space="1" w:color="9CA3AF"/>
        </w:pBdr>
        <w:spacing w:after="200"/>
      </w:pPr>
      <w:r>
        <w:t xml:space="preserve"> </w:t>
      </w:r>
    </w:p>
    <w:p w14:paraId="28E6C22F" w14:textId="77777777">
      <w:pPr>
        <w:pBdr>
          <w:bottom w:val="single" w:sz="4" w:space="1" w:color="9CA3AF"/>
        </w:pBdr>
        <w:spacing w:after="200"/>
      </w:pPr>
      <w:r>
        <w:t xml:space="preserve"> </w:t>
      </w:r>
    </w:p>
    <w:p w14:paraId="37B45A58" w14:textId="77777777">
      <w:pPr>
        <w:pBdr>
          <w:bottom w:val="single" w:sz="4" w:space="1" w:color="9CA3AF"/>
        </w:pBdr>
        <w:spacing w:after="200"/>
      </w:pPr>
      <w:r>
        <w:t xml:space="preserve"> </w:t>
      </w:r>
    </w:p>
    <w:p w14:paraId="1CFAB092" w14:textId="77777777">
      <w:pPr>
        <w:pBdr>
          <w:bottom w:val="single" w:sz="4" w:space="1" w:color="9CA3AF"/>
        </w:pBdr>
        <w:spacing w:after="200"/>
      </w:pPr>
      <w:r>
        <w:t xml:space="preserve"> </w:t>
      </w:r>
    </w:p>
    <w:p w14:paraId="7D0C7983" w14:textId="77777777">
      <w:pPr>
        <w:pBdr>
          <w:bottom w:val="single" w:sz="4" w:space="1" w:color="9CA3AF"/>
        </w:pBdr>
        <w:spacing w:after="200"/>
      </w:pPr>
    </w:p>
    <w:p w14:paraId="7AA9A8DE" w14:textId="77777777">
      <w:pPr>
        <w:pBdr>
          <w:bottom w:val="single" w:sz="4" w:space="1" w:color="9CA3AF"/>
        </w:pBdr>
        <w:spacing w:after="200"/>
      </w:pPr>
    </w:p>
    <w:p w14:paraId="3F994CA8" w14:textId="77777777">
      <w:pPr>
        <w:pBdr>
          <w:bottom w:val="single" w:sz="4" w:space="1" w:color="9CA3AF"/>
        </w:pBdr>
        <w:spacing w:after="200"/>
      </w:pPr>
    </w:p>
    <w:p w14:paraId="6A0B1CD5" w14:textId="77777777">
      <w:pPr>
        <w:pBdr>
          <w:bottom w:val="single" w:sz="4" w:space="1" w:color="9CA3AF"/>
        </w:pBdr>
        <w:spacing w:after="200"/>
      </w:pPr>
    </w:p>
    <w:p w14:paraId="7DE41602" w14:textId="77777777">
      <w:pPr>
        <w:pBdr>
          <w:bottom w:val="single" w:sz="4" w:space="1" w:color="9CA3AF"/>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14:paraId="4088C9CD" w14:textId="77777777">
        <w:tc>
          <w:tcPr>
            <w:tcW w:w="9360" w:type="dxa"/>
            <w:tcBorders>
              <w:top w:val="single" w:sz="6" w:space="0" w:color="1F2937"/>
              <w:left w:val="single" w:sz="6" w:space="0" w:color="1F2937"/>
              <w:bottom w:val="single" w:sz="6" w:space="0" w:color="1F2937"/>
              <w:right w:val="single" w:sz="6" w:space="0" w:color="1F2937"/>
            </w:tcBorders>
            <w:shd w:val="clear" w:color="auto" w:fill="E5E7EB"/>
            <w:tcMar>
              <w:top w:w="120" w:type="dxa"/>
              <w:left w:w="200" w:type="dxa"/>
              <w:bottom w:w="120" w:type="dxa"/>
              <w:right w:w="200" w:type="dxa"/>
            </w:tcMar>
          </w:tcPr>
          <w:p w14:paraId="58549945" w14:textId="77777777">
            <w:r>
              <w:rPr>
                <w:b/>
                <w:bCs/>
                <w:color w:val="1F2937"/>
                <w:sz w:val="24"/>
                <w:szCs w:val="24"/>
              </w:rPr>
              <w:t>SECTION 10 — Filing tracker (for reporter's records)</w:t>
            </w:r>
          </w:p>
        </w:tc>
      </w:tr>
    </w:tbl>
    <w:p w14:paraId="5AB2A03A" w14:textId="77777777">
      <w:pPr>
        <w:spacing w:after="100" w:line="280" w:lineRule="auto"/>
      </w:pPr>
      <w:r>
        <w:t>Keep this section for your own records. The submission coordinator maintains the master log (companion intake spreadsheet) using only the incident ID and minimum tracking data — not these details.</w:t>
      </w:r>
    </w:p>
    <w:p w14:paraId="11B9BA59" w14:textId="77777777">
      <w:pPr>
        <w:spacing w:before="160" w:after="60"/>
      </w:pPr>
      <w:r>
        <w:rPr>
          <w:b/>
          <w:bCs/>
          <w:color w:val="1F2937"/>
        </w:rPr>
        <w:lastRenderedPageBreak/>
        <w:t>10.1 Incident ID assigned by submission coordinator</w:t>
      </w:r>
    </w:p>
    <w:p w14:paraId="1D2EA3AD" w14:textId="77777777">
      <w:pPr>
        <w:pBdr>
          <w:bottom w:val="single" w:sz="4" w:space="1" w:color="9CA3AF"/>
        </w:pBdr>
        <w:spacing w:after="200"/>
      </w:pPr>
      <w:r>
        <w:t xml:space="preserve"> </w:t>
      </w:r>
    </w:p>
    <w:p w14:paraId="2149F84B" w14:textId="0D9CDD49">
      <w:pPr>
        <w:spacing w:before="160" w:after="60"/>
      </w:pPr>
      <w:r>
        <w:rPr>
          <w:b/>
          <w:bCs/>
          <w:color w:val="1F2937"/>
        </w:rPr>
        <w:t>10.2 Filings made</w:t>
      </w:r>
      <w:r>
        <w:rPr>
          <w:b/>
          <w:bCs/>
          <w:color w:val="1F2937"/>
        </w:rPr>
        <w:t>, if any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1399"/>
        <w:gridCol w:w="1303"/>
        <w:gridCol w:w="2158"/>
      </w:tblGrid>
      <w:tr w14:paraId="46063FAE" w14:textId="77777777">
        <w:trPr>
          <w:tblHeader/>
        </w:trPr>
        <w:tc>
          <w:tcPr>
            <w:tcW w:w="0" w:type="auto"/>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2DC723EC" w14:textId="77777777">
            <w:r>
              <w:rPr>
                <w:b/>
                <w:bCs/>
                <w:sz w:val="20"/>
                <w:szCs w:val="20"/>
              </w:rPr>
              <w:t>Channel</w:t>
            </w:r>
          </w:p>
        </w:tc>
        <w:tc>
          <w:tcPr>
            <w:tcW w:w="0" w:type="auto"/>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BB9E3EF" w14:textId="77777777">
            <w:r>
              <w:rPr>
                <w:b/>
                <w:bCs/>
                <w:sz w:val="20"/>
                <w:szCs w:val="20"/>
              </w:rPr>
              <w:t>Filed (Y/N)</w:t>
            </w:r>
          </w:p>
        </w:tc>
        <w:tc>
          <w:tcPr>
            <w:tcW w:w="0" w:type="auto"/>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356A2170" w14:textId="77777777">
            <w:r>
              <w:rPr>
                <w:b/>
                <w:bCs/>
                <w:sz w:val="20"/>
                <w:szCs w:val="20"/>
              </w:rPr>
              <w:t>Date filed</w:t>
            </w:r>
          </w:p>
        </w:tc>
        <w:tc>
          <w:tcPr>
            <w:tcW w:w="0" w:type="auto"/>
            <w:tcBorders>
              <w:top w:val="single" w:sz="4" w:space="0" w:color="BFBFBF"/>
              <w:left w:val="single" w:sz="4" w:space="0" w:color="BFBFBF"/>
              <w:bottom w:val="single" w:sz="4" w:space="0" w:color="BFBFBF"/>
              <w:right w:val="single" w:sz="4" w:space="0" w:color="BFBFBF"/>
            </w:tcBorders>
            <w:shd w:val="clear" w:color="auto" w:fill="D9E2F3"/>
            <w:tcMar>
              <w:top w:w="100" w:type="dxa"/>
              <w:left w:w="140" w:type="dxa"/>
              <w:bottom w:w="100" w:type="dxa"/>
              <w:right w:w="140" w:type="dxa"/>
            </w:tcMar>
          </w:tcPr>
          <w:p w14:paraId="4391A8D1" w14:textId="77777777">
            <w:r>
              <w:rPr>
                <w:b/>
                <w:bCs/>
                <w:sz w:val="20"/>
                <w:szCs w:val="20"/>
              </w:rPr>
              <w:t>Reference / case #</w:t>
            </w:r>
          </w:p>
        </w:tc>
      </w:tr>
      <w:tr w14:paraId="29D95F95"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8C5C34F" w14:textId="77777777">
            <w:r>
              <w:rPr>
                <w:sz w:val="20"/>
                <w:szCs w:val="20"/>
              </w:rPr>
              <w:t>VA OIG Hotline</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55E2AA61"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3AF2EAA"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229E3163" w14:textId="77777777"/>
        </w:tc>
      </w:tr>
      <w:tr w14:paraId="2995DA35"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1334AEF3" w14:textId="77777777">
            <w:r>
              <w:rPr>
                <w:sz w:val="20"/>
                <w:szCs w:val="20"/>
              </w:rPr>
              <w:t>OSC § 1213 disclosure</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67284F41"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10756C8C"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3D1FAF9" w14:textId="77777777"/>
        </w:tc>
      </w:tr>
      <w:tr w14:paraId="1C684CE2"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4E0DC1F" w14:textId="77777777">
            <w:r>
              <w:rPr>
                <w:sz w:val="20"/>
                <w:szCs w:val="20"/>
              </w:rPr>
              <w:t>OSC § 1214 reprisal claim (if applicable)</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1698C4B"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937FCD3"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3EB13EC" w14:textId="77777777"/>
        </w:tc>
      </w:tr>
      <w:tr w14:paraId="089C92A6"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685A2F39" w14:textId="77777777">
            <w:r>
              <w:rPr>
                <w:sz w:val="20"/>
                <w:szCs w:val="20"/>
              </w:rPr>
              <w:t>House VA Tech Mod Subcommittee staff</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66D29597"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37C1B3AC"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1D16A3F4" w14:textId="77777777"/>
        </w:tc>
      </w:tr>
      <w:tr w14:paraId="48BC724A"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9B296F5" w14:textId="77777777">
            <w:r>
              <w:rPr>
                <w:sz w:val="20"/>
                <w:szCs w:val="20"/>
              </w:rPr>
              <w:t>Senate VA / Appropriations staff</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53563F19"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2EBF72EE"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1A8EDEE" w14:textId="77777777"/>
        </w:tc>
      </w:tr>
      <w:tr w14:paraId="53DDD84E"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0796EE2" w14:textId="730014D9">
            <w:r>
              <w:rPr>
                <w:sz w:val="20"/>
                <w:szCs w:val="20"/>
              </w:rPr>
              <w:t xml:space="preserve">Congressional </w:t>
            </w:r>
            <w:r>
              <w:rPr>
                <w:sz w:val="20"/>
                <w:szCs w:val="20"/>
              </w:rPr>
              <w:t>Member office (constituent)</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4D9F858E"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BD36DED"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792D247D" w14:textId="77777777"/>
        </w:tc>
      </w:tr>
      <w:tr w14:paraId="36916A15"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0BFFCC9" w14:textId="77777777">
            <w:r>
              <w:rPr>
                <w:sz w:val="20"/>
                <w:szCs w:val="20"/>
              </w:rPr>
              <w:t>Joint Commission</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60515354"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2AF6B315"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5540EB58" w14:textId="77777777"/>
        </w:tc>
      </w:tr>
      <w:tr w14:paraId="456E720D"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39F7CAD" w14:textId="77777777">
            <w:r>
              <w:rPr>
                <w:sz w:val="20"/>
                <w:szCs w:val="20"/>
              </w:rPr>
              <w:t>Patient Safety Organization</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187EB28C"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4F945317"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84475F8" w14:textId="77777777"/>
        </w:tc>
      </w:tr>
      <w:tr w14:paraId="1314ADD9"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391A3716" w14:textId="77777777">
            <w:r>
              <w:rPr>
                <w:sz w:val="20"/>
                <w:szCs w:val="20"/>
              </w:rPr>
              <w:t>VA internal patient safety report</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3DC02314"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F0E992D"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3E16FDD5" w14:textId="77777777"/>
        </w:tc>
      </w:tr>
      <w:tr w14:paraId="6F832750" w14:textId="77777777">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1B5E0CAA" w14:textId="77777777">
            <w:r>
              <w:rPr>
                <w:sz w:val="20"/>
                <w:szCs w:val="20"/>
              </w:rPr>
              <w:t>Press (off-the-record briefing)</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2189D65"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55AD1AF" w14:textId="77777777"/>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tcPr>
          <w:p w14:paraId="082ADD94" w14:textId="77777777"/>
        </w:tc>
      </w:tr>
    </w:tbl>
    <w:p w14:paraId="15881541" w14:textId="77777777">
      <w:pPr>
        <w:spacing w:after="100" w:line="280" w:lineRule="auto"/>
      </w:pPr>
      <w:r>
        <w:t xml:space="preserve"> </w:t>
      </w:r>
    </w:p>
    <w:p w14:paraId="20A4232D" w14:textId="77777777">
      <w:pPr>
        <w:spacing w:before="160" w:after="60"/>
      </w:pPr>
      <w:r>
        <w:rPr>
          <w:b/>
          <w:bCs/>
          <w:color w:val="1F2937"/>
        </w:rPr>
        <w:t>10.3 Retaliation log (if any)</w:t>
      </w:r>
    </w:p>
    <w:p w14:paraId="53E6308A" w14:textId="77777777">
      <w:pPr>
        <w:spacing w:after="80"/>
      </w:pPr>
      <w:r>
        <w:rPr>
          <w:i/>
          <w:iCs/>
          <w:color w:val="4B5563"/>
          <w:sz w:val="18"/>
          <w:szCs w:val="18"/>
        </w:rPr>
        <w:t>Any unusual interaction with management following disclosure — informal counseling, schedule change, performance scrutiny — should be logged here contemporaneously with date, time, supervisor, witnesses, content. Then reported within 24 hours to union rep, group coordinator, and attorney if engaged.</w:t>
      </w:r>
    </w:p>
    <w:p w14:paraId="40E10B01" w14:textId="77777777">
      <w:pPr>
        <w:pBdr>
          <w:bottom w:val="single" w:sz="4" w:space="1" w:color="9CA3AF"/>
        </w:pBdr>
        <w:spacing w:after="200"/>
      </w:pPr>
      <w:r>
        <w:t xml:space="preserve"> </w:t>
      </w:r>
    </w:p>
    <w:p w14:paraId="146FFC48" w14:textId="77777777">
      <w:pPr>
        <w:pBdr>
          <w:bottom w:val="single" w:sz="4" w:space="1" w:color="9CA3AF"/>
        </w:pBdr>
        <w:spacing w:after="200"/>
      </w:pPr>
      <w:r>
        <w:t xml:space="preserve"> </w:t>
      </w:r>
    </w:p>
    <w:p w14:paraId="272E249C" w14:textId="77777777">
      <w:pPr>
        <w:pBdr>
          <w:bottom w:val="single" w:sz="4" w:space="1" w:color="9CA3AF"/>
        </w:pBdr>
        <w:spacing w:after="200"/>
      </w:pPr>
      <w:r>
        <w:t xml:space="preserve"> </w:t>
      </w:r>
    </w:p>
    <w:p w14:paraId="1898D8C7" w14:textId="24400DDE">
      <w:pPr>
        <w:spacing w:after="100" w:line="280" w:lineRule="auto"/>
        <w:rPr>
          <w:i/>
          <w:iCs/>
          <w:color w:val="4B5563"/>
          <w:sz w:val="18"/>
          <w:szCs w:val="18"/>
        </w:rPr>
      </w:pPr>
    </w:p>
    <w:sectPr>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DC42C1" w14:textId="77777777">
      <w:r>
        <w:separator/>
      </w:r>
    </w:p>
  </w:endnote>
  <w:endnote w:type="continuationSeparator" w:id="0">
    <w:p w14:paraId="3CACE9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kit-standard">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FE1DB" w14:textId="77777777">
    <w:pPr>
      <w:jc w:val="center"/>
    </w:pPr>
    <w:r>
      <w:rPr>
        <w:color w:val="7F7F7F"/>
        <w:sz w:val="18"/>
        <w:szCs w:val="18"/>
      </w:rPr>
      <w:t xml:space="preserve">Page </w:t>
    </w:r>
    <w:r>
      <w:rPr>
        <w:color w:val="7F7F7F"/>
        <w:sz w:val="18"/>
        <w:szCs w:val="18"/>
      </w:rPr>
      <w:fldChar w:fldCharType="begin"/>
    </w:r>
    <w:r>
      <w:rPr>
        <w:color w:val="7F7F7F"/>
        <w:sz w:val="18"/>
        <w:szCs w:val="18"/>
      </w:rPr>
      <w:instrText>PAGE</w:instrText>
    </w:r>
    <w:r>
      <w:rPr>
        <w:color w:val="7F7F7F"/>
        <w:sz w:val="18"/>
        <w:szCs w:val="18"/>
      </w:rPr>
      <w:fldChar w:fldCharType="separate"/>
    </w:r>
    <w:r>
      <w:rPr>
        <w:noProof/>
        <w:color w:val="7F7F7F"/>
        <w:sz w:val="18"/>
        <w:szCs w:val="18"/>
      </w:rPr>
      <w:t>1</w:t>
    </w:r>
    <w:r>
      <w:rPr>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4EACFD" w14:textId="77777777">
      <w:r>
        <w:separator/>
      </w:r>
    </w:p>
  </w:footnote>
  <w:footnote w:type="continuationSeparator" w:id="0">
    <w:p w14:paraId="1FA94AC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B36AD" w14:textId="58986C92">
    <w:pPr>
      <w:jc w:val="right"/>
    </w:pPr>
    <w:r>
      <w:rPr>
        <w:color w:val="7F7F7F"/>
        <w:sz w:val="18"/>
        <w:szCs w:val="18"/>
      </w:rPr>
      <w:t xml:space="preserve">VA EHRM Incident Documentation </w:t>
    </w:r>
    <w:proofErr w:type="gramStart"/>
    <w:r>
      <w:rPr>
        <w:color w:val="7F7F7F"/>
        <w:sz w:val="18"/>
        <w:szCs w:val="18"/>
      </w:rPr>
      <w:t>Form  •</w:t>
    </w:r>
    <w:proofErr w:type="gramEnd"/>
    <w:r>
      <w:rPr>
        <w:color w:val="7F7F7F"/>
        <w:sz w:val="18"/>
        <w:szCs w:val="18"/>
      </w:rPr>
      <w:t xml:space="preserve">  May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6B6317"/>
    <w:multiLevelType w:val="hybridMultilevel"/>
    <w:tmpl w:val="4BEC200E"/>
    <w:lvl w:ilvl="0" w:tplc="11CAAFE6">
      <w:start w:val="1"/>
      <w:numFmt w:val="bullet"/>
      <w:lvlText w:val="•"/>
      <w:lvlJc w:val="left"/>
      <w:pPr>
        <w:ind w:left="720" w:hanging="360"/>
      </w:pPr>
    </w:lvl>
    <w:lvl w:ilvl="1" w:tplc="BE4ACB32">
      <w:numFmt w:val="decimal"/>
      <w:lvlText w:val=""/>
      <w:lvlJc w:val="left"/>
    </w:lvl>
    <w:lvl w:ilvl="2" w:tplc="EA64AACE">
      <w:numFmt w:val="decimal"/>
      <w:lvlText w:val=""/>
      <w:lvlJc w:val="left"/>
    </w:lvl>
    <w:lvl w:ilvl="3" w:tplc="2B3287F0">
      <w:numFmt w:val="decimal"/>
      <w:lvlText w:val=""/>
      <w:lvlJc w:val="left"/>
    </w:lvl>
    <w:lvl w:ilvl="4" w:tplc="9D6E0BC8">
      <w:numFmt w:val="decimal"/>
      <w:lvlText w:val=""/>
      <w:lvlJc w:val="left"/>
    </w:lvl>
    <w:lvl w:ilvl="5" w:tplc="58D8C8C8">
      <w:numFmt w:val="decimal"/>
      <w:lvlText w:val=""/>
      <w:lvlJc w:val="left"/>
    </w:lvl>
    <w:lvl w:ilvl="6" w:tplc="54E403F6">
      <w:numFmt w:val="decimal"/>
      <w:lvlText w:val=""/>
      <w:lvlJc w:val="left"/>
    </w:lvl>
    <w:lvl w:ilvl="7" w:tplc="61BAB992">
      <w:numFmt w:val="decimal"/>
      <w:lvlText w:val=""/>
      <w:lvlJc w:val="left"/>
    </w:lvl>
    <w:lvl w:ilvl="8" w:tplc="9F3C4D22">
      <w:numFmt w:val="decimal"/>
      <w:lvlText w:val=""/>
      <w:lvlJc w:val="left"/>
    </w:lvl>
  </w:abstractNum>
  <w:abstractNum w:abstractNumId="1" w15:restartNumberingAfterBreak="0">
    <w:nsid w:val="52E271DD"/>
    <w:multiLevelType w:val="hybridMultilevel"/>
    <w:tmpl w:val="12A47224"/>
    <w:lvl w:ilvl="0" w:tplc="734205F8">
      <w:start w:val="1"/>
      <w:numFmt w:val="bullet"/>
      <w:lvlText w:val="●"/>
      <w:lvlJc w:val="left"/>
      <w:pPr>
        <w:ind w:left="720" w:hanging="360"/>
      </w:pPr>
    </w:lvl>
    <w:lvl w:ilvl="1" w:tplc="3B78EC02">
      <w:start w:val="1"/>
      <w:numFmt w:val="bullet"/>
      <w:lvlText w:val="○"/>
      <w:lvlJc w:val="left"/>
      <w:pPr>
        <w:ind w:left="1440" w:hanging="360"/>
      </w:pPr>
    </w:lvl>
    <w:lvl w:ilvl="2" w:tplc="BA52518C">
      <w:start w:val="1"/>
      <w:numFmt w:val="bullet"/>
      <w:lvlText w:val="■"/>
      <w:lvlJc w:val="left"/>
      <w:pPr>
        <w:ind w:left="2160" w:hanging="360"/>
      </w:pPr>
    </w:lvl>
    <w:lvl w:ilvl="3" w:tplc="F41ECD34">
      <w:start w:val="1"/>
      <w:numFmt w:val="bullet"/>
      <w:lvlText w:val="●"/>
      <w:lvlJc w:val="left"/>
      <w:pPr>
        <w:ind w:left="2880" w:hanging="360"/>
      </w:pPr>
    </w:lvl>
    <w:lvl w:ilvl="4" w:tplc="F488A712">
      <w:start w:val="1"/>
      <w:numFmt w:val="bullet"/>
      <w:lvlText w:val="○"/>
      <w:lvlJc w:val="left"/>
      <w:pPr>
        <w:ind w:left="3600" w:hanging="360"/>
      </w:pPr>
    </w:lvl>
    <w:lvl w:ilvl="5" w:tplc="036233FC">
      <w:start w:val="1"/>
      <w:numFmt w:val="bullet"/>
      <w:lvlText w:val="■"/>
      <w:lvlJc w:val="left"/>
      <w:pPr>
        <w:ind w:left="4320" w:hanging="360"/>
      </w:pPr>
    </w:lvl>
    <w:lvl w:ilvl="6" w:tplc="B6FA2110">
      <w:start w:val="1"/>
      <w:numFmt w:val="bullet"/>
      <w:lvlText w:val="●"/>
      <w:lvlJc w:val="left"/>
      <w:pPr>
        <w:ind w:left="5040" w:hanging="360"/>
      </w:pPr>
    </w:lvl>
    <w:lvl w:ilvl="7" w:tplc="A7C229A0">
      <w:start w:val="1"/>
      <w:numFmt w:val="bullet"/>
      <w:lvlText w:val="●"/>
      <w:lvlJc w:val="left"/>
      <w:pPr>
        <w:ind w:left="5760" w:hanging="360"/>
      </w:pPr>
    </w:lvl>
    <w:lvl w:ilvl="8" w:tplc="58CE3F56">
      <w:start w:val="1"/>
      <w:numFmt w:val="bullet"/>
      <w:lvlText w:val="●"/>
      <w:lvlJc w:val="left"/>
      <w:pPr>
        <w:ind w:left="6480" w:hanging="360"/>
      </w:pPr>
    </w:lvl>
  </w:abstractNum>
  <w:num w:numId="1" w16cid:durableId="159771040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removePersonalInformation/>
  <w:removeDateAndTime/>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decimalSymbol w:val="."/>
  <w:listSeparator w:val=","/>
  <w14:docId w14:val="7059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yi-Heb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2937"/>
      <w:sz w:val="30"/>
      <w:szCs w:val="30"/>
    </w:rPr>
  </w:style>
  <w:style w:type="paragraph" w:styleId="Heading2">
    <w:name w:val="heading 2"/>
    <w:uiPriority w:val="9"/>
    <w:semiHidden/>
    <w:unhideWhenUsed/>
    <w:qFormat/>
    <w:pPr>
      <w:spacing w:before="240" w:after="120"/>
      <w:outlineLvl w:val="1"/>
    </w:pPr>
    <w:rPr>
      <w:b/>
      <w:bCs/>
      <w:color w:val="1F2937"/>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FB6762"/>
  </w:style>
  <w:style w:type="character" w:styleId="CommentReference">
    <w:name w:val="annotation reference"/>
    <w:basedOn w:val="DefaultParagraphFont"/>
    <w:uiPriority w:val="99"/>
    <w:semiHidden/>
    <w:unhideWhenUsed/>
    <w:rsid w:val="00FB6762"/>
    <w:rPr>
      <w:sz w:val="16"/>
      <w:szCs w:val="16"/>
    </w:rPr>
  </w:style>
  <w:style w:type="paragraph" w:styleId="CommentText">
    <w:name w:val="annotation text"/>
    <w:basedOn w:val="Normal"/>
    <w:link w:val="CommentTextChar"/>
    <w:uiPriority w:val="99"/>
    <w:semiHidden/>
    <w:unhideWhenUsed/>
    <w:rsid w:val="00FB6762"/>
    <w:rPr>
      <w:sz w:val="20"/>
      <w:szCs w:val="20"/>
    </w:rPr>
  </w:style>
  <w:style w:type="character" w:customStyle="1" w:styleId="CommentTextChar">
    <w:name w:val="Comment Text Char"/>
    <w:basedOn w:val="DefaultParagraphFont"/>
    <w:link w:val="CommentText"/>
    <w:uiPriority w:val="99"/>
    <w:semiHidden/>
    <w:rsid w:val="00FB6762"/>
    <w:rPr>
      <w:sz w:val="20"/>
      <w:szCs w:val="20"/>
    </w:rPr>
  </w:style>
  <w:style w:type="paragraph" w:styleId="CommentSubject">
    <w:name w:val="annotation subject"/>
    <w:basedOn w:val="CommentText"/>
    <w:next w:val="CommentText"/>
    <w:link w:val="CommentSubjectChar"/>
    <w:uiPriority w:val="99"/>
    <w:semiHidden/>
    <w:unhideWhenUsed/>
    <w:rsid w:val="00FB6762"/>
    <w:rPr>
      <w:b/>
      <w:bCs/>
    </w:rPr>
  </w:style>
  <w:style w:type="character" w:customStyle="1" w:styleId="CommentSubjectChar">
    <w:name w:val="Comment Subject Char"/>
    <w:basedOn w:val="CommentTextChar"/>
    <w:link w:val="CommentSubject"/>
    <w:uiPriority w:val="99"/>
    <w:semiHidden/>
    <w:rsid w:val="00FB6762"/>
    <w:rPr>
      <w:b/>
      <w:bCs/>
      <w:sz w:val="20"/>
      <w:szCs w:val="20"/>
    </w:rPr>
  </w:style>
  <w:style w:type="paragraph" w:styleId="NormalWeb">
    <w:name w:val="Normal (Web)"/>
    <w:basedOn w:val="Normal"/>
    <w:uiPriority w:val="99"/>
    <w:semiHidden/>
    <w:unhideWhenUsed/>
    <w:rsid w:val="00BB2CF9"/>
    <w:pPr>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945228"/>
    <w:pPr>
      <w:tabs>
        <w:tab w:val="center" w:pos="4680"/>
        <w:tab w:val="right" w:pos="9360"/>
      </w:tabs>
    </w:pPr>
  </w:style>
  <w:style w:type="character" w:customStyle="1" w:styleId="HeaderChar">
    <w:name w:val="Header Char"/>
    <w:basedOn w:val="DefaultParagraphFont"/>
    <w:link w:val="Header"/>
    <w:uiPriority w:val="99"/>
    <w:rsid w:val="00945228"/>
  </w:style>
  <w:style w:type="paragraph" w:styleId="Footer">
    <w:name w:val="footer"/>
    <w:basedOn w:val="Normal"/>
    <w:link w:val="FooterChar"/>
    <w:uiPriority w:val="99"/>
    <w:unhideWhenUsed/>
    <w:rsid w:val="00945228"/>
    <w:pPr>
      <w:tabs>
        <w:tab w:val="center" w:pos="4680"/>
        <w:tab w:val="right" w:pos="9360"/>
      </w:tabs>
    </w:pPr>
  </w:style>
  <w:style w:type="character" w:customStyle="1" w:styleId="FooterChar">
    <w:name w:val="Footer Char"/>
    <w:basedOn w:val="DefaultParagraphFont"/>
    <w:link w:val="Footer"/>
    <w:uiPriority w:val="99"/>
    <w:rsid w:val="00945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Michigan VA EHRM Incident Documentation Template</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 EHR Incident Documentation Template</dc:title>
  <dc:creator/>
  <cp:lastModifiedBy/>
  <cp:revision>1</cp:revision>
</cp:coreProperties>
</file>